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4042"/>
        <w:gridCol w:w="4253"/>
      </w:tblGrid>
      <w:tr w:rsidR="008D5F76" w14:paraId="66854A37" w14:textId="77777777" w:rsidTr="008D5F76">
        <w:tc>
          <w:tcPr>
            <w:tcW w:w="8295" w:type="dxa"/>
            <w:gridSpan w:val="2"/>
            <w:shd w:val="clear" w:color="auto" w:fill="FFFFFF"/>
            <w:tcMar>
              <w:top w:w="0" w:type="dxa"/>
              <w:left w:w="108" w:type="dxa"/>
              <w:bottom w:w="0" w:type="dxa"/>
              <w:right w:w="108" w:type="dxa"/>
            </w:tcMar>
            <w:hideMark/>
          </w:tcPr>
          <w:p w14:paraId="7EC2C8F1" w14:textId="77777777" w:rsidR="008D5F76" w:rsidRDefault="008D5F76">
            <w:r>
              <w:rPr>
                <w:i/>
                <w:iCs/>
              </w:rPr>
              <w:t> </w:t>
            </w:r>
          </w:p>
          <w:p w14:paraId="11A3C30F" w14:textId="77777777" w:rsidR="008D5F76" w:rsidRDefault="008D5F76">
            <w:r>
              <w:rPr>
                <w:i/>
                <w:iCs/>
              </w:rPr>
              <w:t>Friday 24</w:t>
            </w:r>
            <w:r>
              <w:rPr>
                <w:i/>
                <w:iCs/>
                <w:vertAlign w:val="superscript"/>
              </w:rPr>
              <w:t>th</w:t>
            </w:r>
            <w:r>
              <w:rPr>
                <w:i/>
                <w:iCs/>
              </w:rPr>
              <w:t xml:space="preserve"> April, 2020</w:t>
            </w:r>
          </w:p>
          <w:p w14:paraId="527ED384" w14:textId="77777777" w:rsidR="008D5F76" w:rsidRDefault="008D5F76">
            <w:r>
              <w:rPr>
                <w:i/>
                <w:iCs/>
                <w:sz w:val="6"/>
                <w:szCs w:val="6"/>
              </w:rPr>
              <w:t> </w:t>
            </w:r>
          </w:p>
        </w:tc>
      </w:tr>
      <w:tr w:rsidR="008D5F76" w14:paraId="30E76F2F" w14:textId="77777777" w:rsidTr="008D5F76">
        <w:trPr>
          <w:trHeight w:val="285"/>
        </w:trPr>
        <w:tc>
          <w:tcPr>
            <w:tcW w:w="8295" w:type="dxa"/>
            <w:gridSpan w:val="2"/>
            <w:shd w:val="clear" w:color="auto" w:fill="D0CECE"/>
            <w:tcMar>
              <w:top w:w="0" w:type="dxa"/>
              <w:left w:w="108" w:type="dxa"/>
              <w:bottom w:w="0" w:type="dxa"/>
              <w:right w:w="108" w:type="dxa"/>
            </w:tcMar>
            <w:hideMark/>
          </w:tcPr>
          <w:p w14:paraId="227D02F6" w14:textId="77777777" w:rsidR="008D5F76" w:rsidRDefault="008D5F76">
            <w:pPr>
              <w:autoSpaceDE w:val="0"/>
              <w:autoSpaceDN w:val="0"/>
            </w:pPr>
            <w:r>
              <w:rPr>
                <w:b/>
                <w:bCs/>
                <w:sz w:val="24"/>
                <w:szCs w:val="24"/>
              </w:rPr>
              <w:t>Key issues locally</w:t>
            </w:r>
          </w:p>
        </w:tc>
      </w:tr>
      <w:tr w:rsidR="008D5F76" w14:paraId="0C9C8572" w14:textId="77777777" w:rsidTr="008D5F76">
        <w:trPr>
          <w:trHeight w:val="285"/>
        </w:trPr>
        <w:tc>
          <w:tcPr>
            <w:tcW w:w="8295" w:type="dxa"/>
            <w:gridSpan w:val="2"/>
            <w:shd w:val="clear" w:color="auto" w:fill="FFFFFF"/>
            <w:tcMar>
              <w:top w:w="0" w:type="dxa"/>
              <w:left w:w="108" w:type="dxa"/>
              <w:bottom w:w="0" w:type="dxa"/>
              <w:right w:w="108" w:type="dxa"/>
            </w:tcMar>
            <w:hideMark/>
          </w:tcPr>
          <w:p w14:paraId="39A1336B" w14:textId="77777777" w:rsidR="008D5F76" w:rsidRDefault="008D5F76">
            <w:r>
              <w:rPr>
                <w:i/>
                <w:iCs/>
              </w:rPr>
              <w:t>Staff testing</w:t>
            </w:r>
          </w:p>
          <w:p w14:paraId="783E6570" w14:textId="77777777" w:rsidR="008D5F76" w:rsidRDefault="008D5F76">
            <w:r>
              <w:t xml:space="preserve">A reminder that although the Government has launched a new self-referral portal for COVID-19 testing, key workers in Surrey should continue to use Surrey’s testing hub.  This allows us to priorities and ensure people get the test they need.  It also allows us to collect vital data, such as the numbers of people accessing testing across the county.  There is no difference between the testing schemes – they are the same and located at the same sites – the only difference is the way we proritise and record date.  Any queries should be sent to: </w:t>
            </w:r>
            <w:hyperlink r:id="rId4" w:history="1">
              <w:r>
                <w:rPr>
                  <w:rStyle w:val="Hyperlink"/>
                </w:rPr>
                <w:t>Syheartlandsccg.stafftesting@nhs.net</w:t>
              </w:r>
            </w:hyperlink>
          </w:p>
          <w:p w14:paraId="0CC6642A" w14:textId="77777777" w:rsidR="008D5F76" w:rsidRDefault="008D5F76">
            <w:r>
              <w:t> </w:t>
            </w:r>
          </w:p>
          <w:p w14:paraId="31FD5715" w14:textId="77777777" w:rsidR="008D5F76" w:rsidRDefault="008D5F76">
            <w:r>
              <w:t xml:space="preserve">In line with new national communications, we are also working with the Department of Health to broaden and scale up our testing model to fit both national and local priorities including clusters of disease in residential or care settings (e.g. long term care facilities, boarding schools, prisons). Further details will be communicated next week.  </w:t>
            </w:r>
          </w:p>
          <w:p w14:paraId="5F028077" w14:textId="77777777" w:rsidR="008D5F76" w:rsidRDefault="008D5F76">
            <w:r>
              <w:t> </w:t>
            </w:r>
          </w:p>
          <w:p w14:paraId="7E074C23" w14:textId="77777777" w:rsidR="008D5F76" w:rsidRDefault="008D5F76">
            <w:r>
              <w:rPr>
                <w:i/>
                <w:iCs/>
                <w:color w:val="000000"/>
              </w:rPr>
              <w:t>Surrey infographic</w:t>
            </w:r>
          </w:p>
          <w:p w14:paraId="7900E508" w14:textId="77777777" w:rsidR="008D5F76" w:rsidRDefault="008D5F76">
            <w:r>
              <w:t xml:space="preserve">The LRF has produced a handy infographic showing how people and services across Surrey have responded to the challenge of COVID-19. You can see it </w:t>
            </w:r>
            <w:hyperlink r:id="rId5" w:history="1">
              <w:r>
                <w:rPr>
                  <w:rStyle w:val="Hyperlink"/>
                  <w:color w:val="0070C0"/>
                </w:rPr>
                <w:t>here</w:t>
              </w:r>
            </w:hyperlink>
            <w:r>
              <w:t>.  The infographic will be continually updated and in particular we’re hoping to add more health data to the next iteration.</w:t>
            </w:r>
          </w:p>
          <w:p w14:paraId="325F49BC" w14:textId="77777777" w:rsidR="008D5F76" w:rsidRDefault="008D5F76">
            <w:r>
              <w:rPr>
                <w:color w:val="1F497D"/>
              </w:rPr>
              <w:t> </w:t>
            </w:r>
          </w:p>
        </w:tc>
      </w:tr>
      <w:tr w:rsidR="008D5F76" w14:paraId="10AC32AB" w14:textId="77777777" w:rsidTr="008D5F76">
        <w:trPr>
          <w:trHeight w:val="299"/>
        </w:trPr>
        <w:tc>
          <w:tcPr>
            <w:tcW w:w="8295" w:type="dxa"/>
            <w:gridSpan w:val="2"/>
            <w:shd w:val="clear" w:color="auto" w:fill="D0CECE"/>
            <w:tcMar>
              <w:top w:w="0" w:type="dxa"/>
              <w:left w:w="108" w:type="dxa"/>
              <w:bottom w:w="0" w:type="dxa"/>
              <w:right w:w="108" w:type="dxa"/>
            </w:tcMar>
            <w:hideMark/>
          </w:tcPr>
          <w:p w14:paraId="6BB81937" w14:textId="77777777" w:rsidR="008D5F76" w:rsidRDefault="008D5F76">
            <w:pPr>
              <w:spacing w:after="240"/>
            </w:pPr>
            <w:r>
              <w:rPr>
                <w:b/>
                <w:bCs/>
                <w:sz w:val="24"/>
                <w:szCs w:val="24"/>
              </w:rPr>
              <w:t>‘NHS Open for Business’ campaign</w:t>
            </w:r>
          </w:p>
        </w:tc>
      </w:tr>
      <w:tr w:rsidR="008D5F76" w14:paraId="5EA81A18" w14:textId="77777777" w:rsidTr="008D5F76">
        <w:trPr>
          <w:trHeight w:val="299"/>
        </w:trPr>
        <w:tc>
          <w:tcPr>
            <w:tcW w:w="8295" w:type="dxa"/>
            <w:gridSpan w:val="2"/>
            <w:tcMar>
              <w:top w:w="0" w:type="dxa"/>
              <w:left w:w="108" w:type="dxa"/>
              <w:bottom w:w="0" w:type="dxa"/>
              <w:right w:w="108" w:type="dxa"/>
            </w:tcMar>
            <w:hideMark/>
          </w:tcPr>
          <w:p w14:paraId="39207BF3" w14:textId="77777777" w:rsidR="008D5F76" w:rsidRDefault="008D5F76">
            <w:pPr>
              <w:spacing w:after="240"/>
            </w:pPr>
            <w:r>
              <w:t>A national campaign has been created to help address the decrease in the number of people accessing NHS services for a range of conditions that are not related to coronavirus. Essentially it will give people permission to access NHS services and reassure them that they won’t be a burden on the NHS. The campaign title ‘open for business’ is not used within the campaign messages, key generic messages are as follows:</w:t>
            </w:r>
          </w:p>
          <w:p w14:paraId="2E3FEB1A" w14:textId="77777777" w:rsidR="008D5F76" w:rsidRDefault="008D5F76">
            <w:pPr>
              <w:pStyle w:val="NoSpacing"/>
              <w:ind w:left="720" w:hanging="360"/>
            </w:pPr>
            <w:r>
              <w:rPr>
                <w:rFonts w:ascii="Symbol" w:hAnsi="Symbol"/>
              </w:rPr>
              <w:t>·</w:t>
            </w:r>
            <w:r>
              <w:rPr>
                <w:rFonts w:ascii="Times New Roman" w:hAnsi="Times New Roman" w:cs="Times New Roman"/>
                <w:sz w:val="14"/>
                <w:szCs w:val="14"/>
              </w:rPr>
              <w:t xml:space="preserve">         </w:t>
            </w:r>
            <w:r>
              <w:t>If you need medical help, the NHS is still here for you.</w:t>
            </w:r>
          </w:p>
          <w:p w14:paraId="652B0568" w14:textId="77777777" w:rsidR="008D5F76" w:rsidRDefault="008D5F76">
            <w:pPr>
              <w:pStyle w:val="NoSpacing"/>
              <w:ind w:left="720" w:hanging="360"/>
            </w:pPr>
            <w:r>
              <w:rPr>
                <w:rFonts w:ascii="Symbol" w:hAnsi="Symbol"/>
              </w:rPr>
              <w:t>·</w:t>
            </w:r>
            <w:r>
              <w:rPr>
                <w:rFonts w:ascii="Times New Roman" w:hAnsi="Times New Roman" w:cs="Times New Roman"/>
                <w:sz w:val="14"/>
                <w:szCs w:val="14"/>
              </w:rPr>
              <w:t xml:space="preserve">         </w:t>
            </w:r>
            <w:r>
              <w:t>If you need medical help from your GP practice, contact them either online, by an app or by phone to be assessed.</w:t>
            </w:r>
          </w:p>
          <w:p w14:paraId="3E7B5321" w14:textId="77777777" w:rsidR="008D5F76" w:rsidRDefault="008D5F76">
            <w:pPr>
              <w:pStyle w:val="NoSpacing"/>
              <w:ind w:left="720" w:hanging="360"/>
            </w:pPr>
            <w:r>
              <w:rPr>
                <w:rFonts w:ascii="Symbol" w:hAnsi="Symbol"/>
              </w:rPr>
              <w:t>·</w:t>
            </w:r>
            <w:r>
              <w:rPr>
                <w:rFonts w:ascii="Times New Roman" w:hAnsi="Times New Roman" w:cs="Times New Roman"/>
                <w:sz w:val="14"/>
                <w:szCs w:val="14"/>
              </w:rPr>
              <w:t xml:space="preserve">         </w:t>
            </w:r>
            <w:r>
              <w:t>If you need urgent medical help, use the NHS 111 online service. If you cannot get help online, call 111.</w:t>
            </w:r>
          </w:p>
          <w:p w14:paraId="1C30E57E" w14:textId="77777777" w:rsidR="008D5F76" w:rsidRDefault="008D5F76">
            <w:pPr>
              <w:pStyle w:val="NoSpacing"/>
              <w:ind w:left="720" w:hanging="360"/>
            </w:pPr>
            <w:r>
              <w:rPr>
                <w:rFonts w:ascii="Symbol" w:hAnsi="Symbol"/>
              </w:rPr>
              <w:t>·</w:t>
            </w:r>
            <w:r>
              <w:rPr>
                <w:rFonts w:ascii="Times New Roman" w:hAnsi="Times New Roman" w:cs="Times New Roman"/>
                <w:sz w:val="14"/>
                <w:szCs w:val="14"/>
              </w:rPr>
              <w:t xml:space="preserve">         </w:t>
            </w:r>
            <w:r>
              <w:t>If it’s a serious or life-threatening emergency, call 999</w:t>
            </w:r>
          </w:p>
          <w:p w14:paraId="1AE0D7B6" w14:textId="77777777" w:rsidR="008D5F76" w:rsidRDefault="008D5F76">
            <w:pPr>
              <w:pStyle w:val="NoSpacing"/>
              <w:ind w:left="720" w:hanging="360"/>
            </w:pPr>
            <w:r>
              <w:rPr>
                <w:rFonts w:ascii="Symbol" w:hAnsi="Symbol"/>
              </w:rPr>
              <w:t>·</w:t>
            </w:r>
            <w:r>
              <w:rPr>
                <w:rFonts w:ascii="Times New Roman" w:hAnsi="Times New Roman" w:cs="Times New Roman"/>
                <w:sz w:val="14"/>
                <w:szCs w:val="14"/>
              </w:rPr>
              <w:t xml:space="preserve">         </w:t>
            </w:r>
            <w:r>
              <w:t xml:space="preserve">If you are told to go to hospital it is important that you go to hospital. </w:t>
            </w:r>
          </w:p>
          <w:p w14:paraId="3EC018CA" w14:textId="77777777" w:rsidR="008D5F76" w:rsidRDefault="008D5F76">
            <w:pPr>
              <w:pStyle w:val="NoSpacing"/>
              <w:spacing w:after="240"/>
              <w:ind w:left="720" w:hanging="360"/>
            </w:pPr>
            <w:r>
              <w:rPr>
                <w:rFonts w:ascii="Symbol" w:hAnsi="Symbol"/>
              </w:rPr>
              <w:t>·</w:t>
            </w:r>
            <w:r>
              <w:rPr>
                <w:rFonts w:ascii="Times New Roman" w:hAnsi="Times New Roman" w:cs="Times New Roman"/>
                <w:sz w:val="14"/>
                <w:szCs w:val="14"/>
              </w:rPr>
              <w:t xml:space="preserve">         </w:t>
            </w:r>
            <w:r>
              <w:t>You should continue to attend your appointments, unless you have been told not to attend.</w:t>
            </w:r>
          </w:p>
          <w:p w14:paraId="6A83D5A5" w14:textId="77777777" w:rsidR="008D5F76" w:rsidRDefault="008D5F76">
            <w:pPr>
              <w:spacing w:after="240"/>
            </w:pPr>
            <w:r>
              <w:t>The campaign will also include specific messages for groups such as cancer patients and others.  First messages should appear online and on social media over the weekend, first print ads from Monday and will be localised across Surrey Heartlands from next week.</w:t>
            </w:r>
          </w:p>
        </w:tc>
      </w:tr>
      <w:tr w:rsidR="008D5F76" w14:paraId="359D6375" w14:textId="77777777" w:rsidTr="008D5F76">
        <w:trPr>
          <w:trHeight w:val="299"/>
        </w:trPr>
        <w:tc>
          <w:tcPr>
            <w:tcW w:w="8295" w:type="dxa"/>
            <w:gridSpan w:val="2"/>
            <w:shd w:val="clear" w:color="auto" w:fill="D0CECE"/>
            <w:tcMar>
              <w:top w:w="0" w:type="dxa"/>
              <w:left w:w="108" w:type="dxa"/>
              <w:bottom w:w="0" w:type="dxa"/>
              <w:right w:w="108" w:type="dxa"/>
            </w:tcMar>
            <w:hideMark/>
          </w:tcPr>
          <w:p w14:paraId="71FDEDEC" w14:textId="77777777" w:rsidR="008D5F76" w:rsidRDefault="008D5F76">
            <w:pPr>
              <w:spacing w:after="240"/>
            </w:pPr>
            <w:r>
              <w:rPr>
                <w:b/>
                <w:bCs/>
                <w:sz w:val="24"/>
                <w:szCs w:val="24"/>
              </w:rPr>
              <w:t>Public Health England surveillance report</w:t>
            </w:r>
          </w:p>
        </w:tc>
      </w:tr>
      <w:tr w:rsidR="008D5F76" w14:paraId="1CD5739D" w14:textId="77777777" w:rsidTr="008D5F76">
        <w:trPr>
          <w:trHeight w:val="285"/>
        </w:trPr>
        <w:tc>
          <w:tcPr>
            <w:tcW w:w="8295" w:type="dxa"/>
            <w:gridSpan w:val="2"/>
            <w:tcMar>
              <w:top w:w="0" w:type="dxa"/>
              <w:left w:w="108" w:type="dxa"/>
              <w:bottom w:w="0" w:type="dxa"/>
              <w:right w:w="108" w:type="dxa"/>
            </w:tcMar>
            <w:hideMark/>
          </w:tcPr>
          <w:p w14:paraId="71FD488E" w14:textId="77777777" w:rsidR="008D5F76" w:rsidRDefault="008D5F76">
            <w:r>
              <w:rPr>
                <w:color w:val="000000"/>
              </w:rPr>
              <w:t>A new PHE weekly national surveillance report has been published today. This report summarises the information from the surveillance systems which are used to monitor the Coronavirus Disease 2019 (COVID-19) pandemic in England. A blog has also been published.</w:t>
            </w:r>
          </w:p>
        </w:tc>
      </w:tr>
      <w:tr w:rsidR="008D5F76" w14:paraId="5EB44CA4" w14:textId="77777777" w:rsidTr="008D5F76">
        <w:trPr>
          <w:trHeight w:val="285"/>
        </w:trPr>
        <w:tc>
          <w:tcPr>
            <w:tcW w:w="8295" w:type="dxa"/>
            <w:gridSpan w:val="2"/>
            <w:shd w:val="clear" w:color="auto" w:fill="E7E6E6"/>
            <w:tcMar>
              <w:top w:w="0" w:type="dxa"/>
              <w:left w:w="108" w:type="dxa"/>
              <w:bottom w:w="0" w:type="dxa"/>
              <w:right w:w="108" w:type="dxa"/>
            </w:tcMar>
            <w:hideMark/>
          </w:tcPr>
          <w:p w14:paraId="43C1039C" w14:textId="77777777" w:rsidR="008D5F76" w:rsidRDefault="008D5F76">
            <w:pPr>
              <w:autoSpaceDN w:val="0"/>
            </w:pPr>
            <w:r>
              <w:rPr>
                <w:b/>
                <w:bCs/>
                <w:color w:val="030303"/>
                <w:sz w:val="24"/>
                <w:szCs w:val="24"/>
              </w:rPr>
              <w:lastRenderedPageBreak/>
              <w:t>Latest guidance</w:t>
            </w:r>
          </w:p>
        </w:tc>
      </w:tr>
      <w:tr w:rsidR="008D5F76" w14:paraId="7630641F" w14:textId="77777777" w:rsidTr="008D5F76">
        <w:trPr>
          <w:trHeight w:val="285"/>
        </w:trPr>
        <w:tc>
          <w:tcPr>
            <w:tcW w:w="8295" w:type="dxa"/>
            <w:gridSpan w:val="2"/>
            <w:shd w:val="clear" w:color="auto" w:fill="FFFFFF"/>
            <w:tcMar>
              <w:top w:w="0" w:type="dxa"/>
              <w:left w:w="108" w:type="dxa"/>
              <w:bottom w:w="0" w:type="dxa"/>
              <w:right w:w="108" w:type="dxa"/>
            </w:tcMar>
            <w:hideMark/>
          </w:tcPr>
          <w:p w14:paraId="45ED08AB" w14:textId="77777777" w:rsidR="008D5F76" w:rsidRDefault="008D5F76">
            <w:r>
              <w:rPr>
                <w:color w:val="030303"/>
                <w:sz w:val="2"/>
                <w:szCs w:val="2"/>
              </w:rPr>
              <w:t> </w:t>
            </w:r>
          </w:p>
          <w:p w14:paraId="317260D6" w14:textId="77777777" w:rsidR="008D5F76" w:rsidRDefault="008D5F76">
            <w:r>
              <w:rPr>
                <w:color w:val="030303"/>
              </w:rPr>
              <w:t xml:space="preserve">All the latest clinical guidance can be found here: </w:t>
            </w:r>
            <w:hyperlink r:id="rId6" w:history="1">
              <w:r>
                <w:rPr>
                  <w:rStyle w:val="Hyperlink"/>
                </w:rPr>
                <w:t>www.england.nhs.uk/coronavirus/</w:t>
              </w:r>
            </w:hyperlink>
            <w:r>
              <w:rPr>
                <w:color w:val="030303"/>
              </w:rPr>
              <w:t xml:space="preserve"> </w:t>
            </w:r>
          </w:p>
          <w:p w14:paraId="0BF9CDFB" w14:textId="77777777" w:rsidR="008D5F76" w:rsidRDefault="008D5F76">
            <w:pPr>
              <w:autoSpaceDN w:val="0"/>
              <w:spacing w:line="360" w:lineRule="auto"/>
            </w:pPr>
            <w:r>
              <w:t xml:space="preserve">Latest PHE guidance can be found </w:t>
            </w:r>
            <w:hyperlink r:id="rId7" w:history="1">
              <w:r>
                <w:rPr>
                  <w:rStyle w:val="Hyperlink"/>
                </w:rPr>
                <w:t>here</w:t>
              </w:r>
            </w:hyperlink>
            <w:r>
              <w:t>.</w:t>
            </w:r>
          </w:p>
          <w:p w14:paraId="095FE0AA" w14:textId="77777777" w:rsidR="008D5F76" w:rsidRDefault="008D5F76">
            <w:pPr>
              <w:pStyle w:val="NoSpacing"/>
            </w:pPr>
            <w:r>
              <w:t xml:space="preserve">To simplify sourcing information relevant to the social care sector, a new collection page has been created on </w:t>
            </w:r>
            <w:hyperlink r:id="rId8" w:history="1">
              <w:r>
                <w:rPr>
                  <w:rStyle w:val="Hyperlink"/>
                </w:rPr>
                <w:t>gov.uk</w:t>
              </w:r>
            </w:hyperlink>
            <w:r>
              <w:rPr>
                <w:color w:val="FF0000"/>
              </w:rPr>
              <w:t xml:space="preserve"> </w:t>
            </w:r>
            <w:r>
              <w:t>bringing all the guidance relevant to them together into one place.</w:t>
            </w:r>
          </w:p>
          <w:p w14:paraId="3E3AA25D" w14:textId="77777777" w:rsidR="008D5F76" w:rsidRDefault="008D5F76">
            <w:pPr>
              <w:pStyle w:val="NoSpacing"/>
            </w:pPr>
            <w:r>
              <w:rPr>
                <w:sz w:val="8"/>
                <w:szCs w:val="8"/>
              </w:rPr>
              <w:t> </w:t>
            </w:r>
          </w:p>
          <w:p w14:paraId="6A73A3FF" w14:textId="77777777" w:rsidR="008D5F76" w:rsidRDefault="008D5F76">
            <w:pPr>
              <w:pStyle w:val="NoSpacing"/>
            </w:pPr>
            <w:r>
              <w:rPr>
                <w:sz w:val="8"/>
                <w:szCs w:val="8"/>
              </w:rPr>
              <w:t> </w:t>
            </w:r>
          </w:p>
          <w:p w14:paraId="71676226" w14:textId="77777777" w:rsidR="008D5F76" w:rsidRDefault="008D5F76">
            <w:pPr>
              <w:pStyle w:val="NoSpacing"/>
            </w:pPr>
            <w:r>
              <w:t xml:space="preserve">Other guidance on what you need to do during the Covid-19 outbreak can be found here:  </w:t>
            </w:r>
            <w:hyperlink r:id="rId9" w:history="1">
              <w:r>
                <w:rPr>
                  <w:rStyle w:val="Hyperlink"/>
                </w:rPr>
                <w:t>https://www.gov.uk/coronavirus</w:t>
              </w:r>
            </w:hyperlink>
            <w:r>
              <w:t xml:space="preserve"> </w:t>
            </w:r>
          </w:p>
          <w:p w14:paraId="262D36F4" w14:textId="77777777" w:rsidR="008D5F76" w:rsidRDefault="008D5F76">
            <w:pPr>
              <w:pStyle w:val="NoSpacing"/>
            </w:pPr>
            <w:r>
              <w:rPr>
                <w:sz w:val="10"/>
                <w:szCs w:val="10"/>
              </w:rPr>
              <w:t> </w:t>
            </w:r>
          </w:p>
          <w:p w14:paraId="2FA1FEE4" w14:textId="77777777" w:rsidR="008D5F76" w:rsidRDefault="008D5F76">
            <w:r>
              <w:t xml:space="preserve">The Cabinet Office has brought together </w:t>
            </w:r>
            <w:hyperlink r:id="rId10" w:history="1">
              <w:r>
                <w:rPr>
                  <w:rStyle w:val="Hyperlink"/>
                </w:rPr>
                <w:t>guidance</w:t>
              </w:r>
            </w:hyperlink>
            <w:r>
              <w:t xml:space="preserve"> on GOV.UK to support employers and workers handling loss of life. </w:t>
            </w:r>
          </w:p>
          <w:p w14:paraId="74BC38E8" w14:textId="77777777" w:rsidR="008D5F76" w:rsidRDefault="008D5F76">
            <w:r>
              <w:rPr>
                <w:sz w:val="8"/>
                <w:szCs w:val="8"/>
              </w:rPr>
              <w:t> </w:t>
            </w:r>
          </w:p>
          <w:p w14:paraId="73E01271" w14:textId="77777777" w:rsidR="008D5F76" w:rsidRDefault="008D5F76">
            <w:r>
              <w:t> </w:t>
            </w:r>
          </w:p>
        </w:tc>
      </w:tr>
      <w:tr w:rsidR="008D5F76" w14:paraId="70A215F7" w14:textId="77777777" w:rsidTr="008D5F76">
        <w:tc>
          <w:tcPr>
            <w:tcW w:w="4042" w:type="dxa"/>
            <w:shd w:val="clear" w:color="auto" w:fill="E2EFD9"/>
            <w:tcMar>
              <w:top w:w="0" w:type="dxa"/>
              <w:left w:w="108" w:type="dxa"/>
              <w:bottom w:w="0" w:type="dxa"/>
              <w:right w:w="108" w:type="dxa"/>
            </w:tcMar>
            <w:hideMark/>
          </w:tcPr>
          <w:p w14:paraId="397DE8D5" w14:textId="77777777" w:rsidR="008D5F76" w:rsidRDefault="008D5F76">
            <w:r>
              <w:rPr>
                <w:b/>
                <w:bCs/>
                <w:sz w:val="10"/>
                <w:szCs w:val="10"/>
              </w:rPr>
              <w:t> </w:t>
            </w:r>
          </w:p>
          <w:p w14:paraId="2E59F8B0" w14:textId="77777777" w:rsidR="008D5F76" w:rsidRDefault="008D5F76">
            <w:r>
              <w:rPr>
                <w:b/>
                <w:bCs/>
                <w:sz w:val="24"/>
                <w:szCs w:val="24"/>
              </w:rPr>
              <w:t>UK figures at a glance</w:t>
            </w:r>
          </w:p>
          <w:p w14:paraId="4CA65273" w14:textId="77777777" w:rsidR="008D5F76" w:rsidRDefault="008D5F76">
            <w:r>
              <w:rPr>
                <w:color w:val="000000"/>
              </w:rPr>
              <w:t xml:space="preserve">As at 9am on 23 April across the UK: </w:t>
            </w:r>
          </w:p>
          <w:p w14:paraId="23B5EFCE" w14:textId="77777777" w:rsidR="008D5F76" w:rsidRDefault="008D5F76">
            <w:pPr>
              <w:pStyle w:val="ListParagraph"/>
              <w:ind w:hanging="360"/>
            </w:pPr>
            <w:r>
              <w:rPr>
                <w:rFonts w:ascii="Symbol" w:hAnsi="Symbol"/>
                <w:color w:val="000000"/>
              </w:rPr>
              <w:t>·</w:t>
            </w:r>
            <w:r>
              <w:rPr>
                <w:rFonts w:ascii="Times New Roman" w:hAnsi="Times New Roman" w:cs="Times New Roman"/>
                <w:color w:val="000000"/>
                <w:sz w:val="14"/>
                <w:szCs w:val="14"/>
              </w:rPr>
              <w:t xml:space="preserve">         </w:t>
            </w:r>
            <w:r>
              <w:rPr>
                <w:color w:val="000000"/>
              </w:rPr>
              <w:t xml:space="preserve">425,821 people have been tested </w:t>
            </w:r>
          </w:p>
          <w:p w14:paraId="15BD6624" w14:textId="77777777" w:rsidR="008D5F76" w:rsidRDefault="008D5F76">
            <w:pPr>
              <w:pStyle w:val="ListParagraph"/>
              <w:ind w:hanging="360"/>
            </w:pPr>
            <w:r>
              <w:rPr>
                <w:rFonts w:ascii="Symbol" w:hAnsi="Symbol"/>
                <w:color w:val="000000"/>
              </w:rPr>
              <w:t>·</w:t>
            </w:r>
            <w:r>
              <w:rPr>
                <w:rFonts w:ascii="Times New Roman" w:hAnsi="Times New Roman" w:cs="Times New Roman"/>
                <w:color w:val="000000"/>
                <w:sz w:val="14"/>
                <w:szCs w:val="14"/>
              </w:rPr>
              <w:t xml:space="preserve">         </w:t>
            </w:r>
            <w:r>
              <w:rPr>
                <w:color w:val="000000"/>
              </w:rPr>
              <w:t>138,078 were confirmed positive</w:t>
            </w:r>
          </w:p>
          <w:p w14:paraId="1E041E50" w14:textId="77777777" w:rsidR="008D5F76" w:rsidRDefault="008D5F76">
            <w:pPr>
              <w:pStyle w:val="ListParagraph"/>
            </w:pPr>
            <w:r>
              <w:rPr>
                <w:color w:val="000000"/>
              </w:rPr>
              <w:t> </w:t>
            </w:r>
          </w:p>
          <w:p w14:paraId="1F0BB57C" w14:textId="77777777" w:rsidR="008D5F76" w:rsidRDefault="008D5F76">
            <w:pPr>
              <w:pStyle w:val="default"/>
            </w:pPr>
            <w:r>
              <w:rPr>
                <w:rFonts w:ascii="Calibri" w:hAnsi="Calibri" w:cs="Calibri"/>
                <w:sz w:val="22"/>
                <w:szCs w:val="22"/>
              </w:rPr>
              <w:t>Across Surrey, Public Heath England</w:t>
            </w:r>
            <w:r>
              <w:rPr>
                <w:rFonts w:ascii="Calibri" w:hAnsi="Calibri" w:cs="Calibri"/>
                <w:color w:val="1F497D"/>
                <w:sz w:val="22"/>
                <w:szCs w:val="22"/>
              </w:rPr>
              <w:t>’</w:t>
            </w:r>
            <w:r>
              <w:rPr>
                <w:rFonts w:ascii="Calibri" w:hAnsi="Calibri" w:cs="Calibri"/>
                <w:sz w:val="22"/>
                <w:szCs w:val="22"/>
              </w:rPr>
              <w:t>s latest figures estimate there are 2,176 positive cases.</w:t>
            </w:r>
          </w:p>
          <w:p w14:paraId="1F3E2865" w14:textId="77777777" w:rsidR="008D5F76" w:rsidRDefault="008D5F76">
            <w:pPr>
              <w:pStyle w:val="default"/>
            </w:pPr>
            <w:r>
              <w:rPr>
                <w:rFonts w:ascii="Calibri" w:hAnsi="Calibri" w:cs="Calibri"/>
                <w:sz w:val="22"/>
                <w:szCs w:val="22"/>
              </w:rPr>
              <w:t> </w:t>
            </w:r>
          </w:p>
          <w:p w14:paraId="2EA07612" w14:textId="77777777" w:rsidR="008D5F76" w:rsidRDefault="008D5F76">
            <w:pPr>
              <w:pStyle w:val="default"/>
            </w:pPr>
            <w:r>
              <w:rPr>
                <w:rFonts w:ascii="Calibri" w:hAnsi="Calibri" w:cs="Calibri"/>
                <w:b/>
                <w:bCs/>
                <w:sz w:val="22"/>
                <w:szCs w:val="22"/>
              </w:rPr>
              <w:t> </w:t>
            </w:r>
          </w:p>
        </w:tc>
        <w:tc>
          <w:tcPr>
            <w:tcW w:w="4253" w:type="dxa"/>
            <w:shd w:val="clear" w:color="auto" w:fill="FFF2CC"/>
            <w:tcMar>
              <w:top w:w="0" w:type="dxa"/>
              <w:left w:w="108" w:type="dxa"/>
              <w:bottom w:w="0" w:type="dxa"/>
              <w:right w:w="108" w:type="dxa"/>
            </w:tcMar>
            <w:hideMark/>
          </w:tcPr>
          <w:p w14:paraId="5CDE6009" w14:textId="77777777" w:rsidR="008D5F76" w:rsidRDefault="008D5F76">
            <w:pPr>
              <w:pStyle w:val="default"/>
            </w:pPr>
            <w:r>
              <w:rPr>
                <w:rFonts w:ascii="Calibri" w:hAnsi="Calibri" w:cs="Calibri"/>
                <w:b/>
                <w:bCs/>
                <w:sz w:val="8"/>
                <w:szCs w:val="8"/>
              </w:rPr>
              <w:t> </w:t>
            </w:r>
          </w:p>
          <w:p w14:paraId="5A172EC1" w14:textId="77777777" w:rsidR="008D5F76" w:rsidRDefault="008D5F76">
            <w:pPr>
              <w:pStyle w:val="default"/>
            </w:pPr>
            <w:r>
              <w:rPr>
                <w:rFonts w:ascii="Calibri" w:hAnsi="Calibri" w:cs="Calibri"/>
                <w:b/>
                <w:bCs/>
              </w:rPr>
              <w:t>New</w:t>
            </w:r>
            <w:r>
              <w:rPr>
                <w:rFonts w:ascii="Calibri" w:hAnsi="Calibri" w:cs="Calibri"/>
                <w:b/>
                <w:bCs/>
                <w:color w:val="FF0000"/>
              </w:rPr>
              <w:t xml:space="preserve"> </w:t>
            </w:r>
            <w:r>
              <w:rPr>
                <w:rFonts w:ascii="Calibri" w:hAnsi="Calibri" w:cs="Calibri"/>
                <w:b/>
                <w:bCs/>
              </w:rPr>
              <w:t>campaign material</w:t>
            </w:r>
          </w:p>
          <w:p w14:paraId="46699B1F" w14:textId="77777777" w:rsidR="008D5F76" w:rsidRDefault="008D5F76">
            <w:pPr>
              <w:autoSpaceDN w:val="0"/>
              <w:spacing w:after="160"/>
            </w:pPr>
            <w:r>
              <w:t xml:space="preserve">A selection of new social media assets created for BAME audiences are now available from the </w:t>
            </w:r>
            <w:hyperlink r:id="rId11" w:history="1">
              <w:r>
                <w:rPr>
                  <w:rStyle w:val="Hyperlink"/>
                </w:rPr>
                <w:t>Campaign Resource Centre</w:t>
              </w:r>
            </w:hyperlink>
            <w:r>
              <w:t xml:space="preserve">. These include static and animated assets for use on Facebook, Instagram and Twitter. </w:t>
            </w:r>
          </w:p>
          <w:p w14:paraId="5C70DB83" w14:textId="77777777" w:rsidR="008D5F76" w:rsidRDefault="008D5F76">
            <w:pPr>
              <w:pStyle w:val="default"/>
            </w:pPr>
            <w:r>
              <w:rPr>
                <w:sz w:val="21"/>
                <w:szCs w:val="21"/>
              </w:rPr>
              <w:t> </w:t>
            </w:r>
          </w:p>
        </w:tc>
      </w:tr>
      <w:tr w:rsidR="008D5F76" w14:paraId="1852A355" w14:textId="77777777" w:rsidTr="008D5F76">
        <w:tc>
          <w:tcPr>
            <w:tcW w:w="8295" w:type="dxa"/>
            <w:gridSpan w:val="2"/>
            <w:tcMar>
              <w:top w:w="0" w:type="dxa"/>
              <w:left w:w="108" w:type="dxa"/>
              <w:bottom w:w="0" w:type="dxa"/>
              <w:right w:w="108" w:type="dxa"/>
            </w:tcMar>
            <w:hideMark/>
          </w:tcPr>
          <w:p w14:paraId="15319BB8" w14:textId="77777777" w:rsidR="008D5F76" w:rsidRDefault="008D5F76">
            <w:r>
              <w:rPr>
                <w:i/>
                <w:iCs/>
                <w:sz w:val="20"/>
                <w:szCs w:val="20"/>
              </w:rPr>
              <w:t> </w:t>
            </w:r>
          </w:p>
          <w:p w14:paraId="2B2FA668" w14:textId="77777777" w:rsidR="008D5F76" w:rsidRDefault="008D5F76">
            <w:r>
              <w:rPr>
                <w:i/>
                <w:iCs/>
                <w:sz w:val="20"/>
                <w:szCs w:val="20"/>
              </w:rPr>
              <w:t>Surrey Heartlands Communication Team, 24</w:t>
            </w:r>
            <w:r>
              <w:rPr>
                <w:i/>
                <w:iCs/>
                <w:sz w:val="20"/>
                <w:szCs w:val="20"/>
                <w:vertAlign w:val="superscript"/>
              </w:rPr>
              <w:t>th</w:t>
            </w:r>
            <w:r>
              <w:rPr>
                <w:i/>
                <w:iCs/>
                <w:sz w:val="20"/>
                <w:szCs w:val="20"/>
              </w:rPr>
              <w:t xml:space="preserve"> April 2020</w:t>
            </w:r>
          </w:p>
          <w:p w14:paraId="5E0F9EF9" w14:textId="77777777" w:rsidR="008D5F76" w:rsidRDefault="008D5F76">
            <w:r>
              <w:rPr>
                <w:i/>
                <w:iCs/>
              </w:rPr>
              <w:t> </w:t>
            </w:r>
          </w:p>
        </w:tc>
      </w:tr>
    </w:tbl>
    <w:p w14:paraId="66F621FF" w14:textId="77777777" w:rsidR="0001247E" w:rsidRDefault="0001247E"/>
    <w:sectPr w:rsidR="0001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76"/>
    <w:rsid w:val="0001247E"/>
    <w:rsid w:val="008D5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57B4"/>
  <w15:chartTrackingRefBased/>
  <w15:docId w15:val="{3E50ABDC-E468-4F2F-A4B0-515153DE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7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F76"/>
    <w:rPr>
      <w:color w:val="0563C1"/>
      <w:u w:val="single"/>
    </w:rPr>
  </w:style>
  <w:style w:type="paragraph" w:styleId="NoSpacing">
    <w:name w:val="No Spacing"/>
    <w:basedOn w:val="Normal"/>
    <w:uiPriority w:val="1"/>
    <w:qFormat/>
    <w:rsid w:val="008D5F76"/>
  </w:style>
  <w:style w:type="paragraph" w:styleId="ListParagraph">
    <w:name w:val="List Paragraph"/>
    <w:basedOn w:val="Normal"/>
    <w:uiPriority w:val="34"/>
    <w:qFormat/>
    <w:rsid w:val="008D5F76"/>
    <w:pPr>
      <w:ind w:left="720"/>
    </w:pPr>
  </w:style>
  <w:style w:type="paragraph" w:customStyle="1" w:styleId="default">
    <w:name w:val="default"/>
    <w:basedOn w:val="Normal"/>
    <w:rsid w:val="008D5F76"/>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social-care-guid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collections/coronavirus-covid-19-list-of-guidan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and.nhs.uk/coronavirus/" TargetMode="External"/><Relationship Id="rId11" Type="http://schemas.openxmlformats.org/officeDocument/2006/relationships/hyperlink" Target="https://coronavirusresources.phe.gov.uk/age-specific/resources/BAME-Assets/" TargetMode="External"/><Relationship Id="rId5" Type="http://schemas.openxmlformats.org/officeDocument/2006/relationships/hyperlink" Target="https://twitter.com/SurreyNews/status/1253385575475884034" TargetMode="External"/><Relationship Id="rId10" Type="http://schemas.openxmlformats.org/officeDocument/2006/relationships/hyperlink" Target="https://www.gov.uk/government/publications/guidance-for-those-involved-in-managing-covid-19-deaths/guidance-for-those-involved-in-managing-covid-19-deaths" TargetMode="External"/><Relationship Id="rId4" Type="http://schemas.openxmlformats.org/officeDocument/2006/relationships/hyperlink" Target="mailto:Syheartlandsccg.stafftesting@nhs.net" TargetMode="External"/><Relationship Id="rId9"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2020-04-30T08:57:00Z</dcterms:created>
  <dcterms:modified xsi:type="dcterms:W3CDTF">2020-04-30T08:59:00Z</dcterms:modified>
</cp:coreProperties>
</file>