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BB" w:rsidRPr="003D1AD4" w:rsidRDefault="00BE47BB" w:rsidP="008A50A0">
      <w:pPr>
        <w:pStyle w:val="Heading2"/>
        <w:rPr>
          <w:b/>
          <w:bCs/>
          <w:sz w:val="24"/>
          <w:szCs w:val="24"/>
        </w:rPr>
      </w:pPr>
      <w:r w:rsidRPr="003D1AD4">
        <w:rPr>
          <w:b/>
          <w:bCs/>
          <w:sz w:val="24"/>
          <w:szCs w:val="24"/>
        </w:rPr>
        <w:t>STATEMENT OF COLLABORATION BETWEEN CARE AND SUPPORT PROVIDERS IN SURREY</w:t>
      </w:r>
    </w:p>
    <w:p w:rsidR="008A50A0" w:rsidRPr="008A50A0" w:rsidRDefault="008A50A0" w:rsidP="008A50A0">
      <w:pPr>
        <w:pStyle w:val="Default"/>
        <w:rPr>
          <w:rFonts w:asciiTheme="minorHAnsi" w:hAnsiTheme="minorHAnsi" w:cstheme="minorHAnsi"/>
          <w:color w:val="auto"/>
          <w:sz w:val="22"/>
          <w:szCs w:val="22"/>
        </w:rPr>
      </w:pPr>
    </w:p>
    <w:p w:rsidR="008A50A0" w:rsidRPr="003D1AD4" w:rsidRDefault="008A50A0" w:rsidP="008A50A0">
      <w:pPr>
        <w:pStyle w:val="Heading3"/>
        <w:rPr>
          <w:b/>
          <w:bCs/>
        </w:rPr>
      </w:pPr>
      <w:r w:rsidRPr="003D1AD4">
        <w:rPr>
          <w:b/>
          <w:bCs/>
        </w:rPr>
        <w:t xml:space="preserve">Introduction </w:t>
      </w:r>
    </w:p>
    <w:p w:rsidR="008A50A0" w:rsidRPr="008A50A0" w:rsidRDefault="008A50A0" w:rsidP="008A50A0">
      <w:pPr>
        <w:pStyle w:val="Default"/>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Social care providers </w:t>
      </w:r>
      <w:r w:rsidR="00BE47BB">
        <w:rPr>
          <w:rFonts w:asciiTheme="minorHAnsi" w:hAnsiTheme="minorHAnsi" w:cstheme="minorHAnsi"/>
          <w:color w:val="auto"/>
          <w:sz w:val="22"/>
          <w:szCs w:val="22"/>
        </w:rPr>
        <w:t xml:space="preserve">in Surrey </w:t>
      </w:r>
      <w:r w:rsidRPr="008A50A0">
        <w:rPr>
          <w:rFonts w:asciiTheme="minorHAnsi" w:hAnsiTheme="minorHAnsi" w:cstheme="minorHAnsi"/>
          <w:color w:val="auto"/>
          <w:sz w:val="22"/>
          <w:szCs w:val="22"/>
        </w:rPr>
        <w:t xml:space="preserve">are under exceptional pressure to maintain and sustain their service delivery in response to the COVID-19 pandemic. This requires us to look beyond our organisational boundaries and manage our response as a health and social care system, wrapped around our most vulnerable residents. </w:t>
      </w:r>
    </w:p>
    <w:p w:rsidR="008A50A0" w:rsidRDefault="008A50A0" w:rsidP="008A50A0">
      <w:pPr>
        <w:pStyle w:val="Heading3"/>
      </w:pPr>
    </w:p>
    <w:p w:rsidR="008A50A0" w:rsidRPr="003D1AD4" w:rsidRDefault="008A50A0" w:rsidP="008A50A0">
      <w:pPr>
        <w:pStyle w:val="Heading3"/>
        <w:rPr>
          <w:b/>
          <w:bCs/>
        </w:rPr>
      </w:pPr>
      <w:r w:rsidRPr="003D1AD4">
        <w:rPr>
          <w:b/>
          <w:bCs/>
        </w:rPr>
        <w:t xml:space="preserve">Principles </w:t>
      </w:r>
    </w:p>
    <w:p w:rsidR="00BE47BB" w:rsidRDefault="008A50A0" w:rsidP="008A50A0">
      <w:pPr>
        <w:pStyle w:val="Default"/>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Sharing our workforce would normally call for contractual and formal arrangements. Recognising that this is neither practical </w:t>
      </w:r>
      <w:r w:rsidR="008C123A">
        <w:rPr>
          <w:rFonts w:asciiTheme="minorHAnsi" w:hAnsiTheme="minorHAnsi" w:cstheme="minorHAnsi"/>
          <w:color w:val="auto"/>
          <w:sz w:val="22"/>
          <w:szCs w:val="22"/>
        </w:rPr>
        <w:t>n</w:t>
      </w:r>
      <w:r w:rsidRPr="008A50A0">
        <w:rPr>
          <w:rFonts w:asciiTheme="minorHAnsi" w:hAnsiTheme="minorHAnsi" w:cstheme="minorHAnsi"/>
          <w:color w:val="auto"/>
          <w:sz w:val="22"/>
          <w:szCs w:val="22"/>
        </w:rPr>
        <w:t xml:space="preserve">or responsive in the current situation, the following principles </w:t>
      </w:r>
      <w:r w:rsidR="008C123A">
        <w:rPr>
          <w:rFonts w:asciiTheme="minorHAnsi" w:hAnsiTheme="minorHAnsi" w:cstheme="minorHAnsi"/>
          <w:color w:val="auto"/>
          <w:sz w:val="22"/>
          <w:szCs w:val="22"/>
        </w:rPr>
        <w:t>will apply</w:t>
      </w:r>
      <w:r w:rsidR="00BE47BB">
        <w:rPr>
          <w:rFonts w:asciiTheme="minorHAnsi" w:hAnsiTheme="minorHAnsi" w:cstheme="minorHAnsi"/>
          <w:color w:val="auto"/>
          <w:sz w:val="22"/>
          <w:szCs w:val="22"/>
        </w:rPr>
        <w:t>:</w:t>
      </w:r>
    </w:p>
    <w:p w:rsidR="008A50A0" w:rsidRPr="008A50A0" w:rsidRDefault="008A50A0" w:rsidP="008A50A0">
      <w:pPr>
        <w:pStyle w:val="Default"/>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 </w:t>
      </w:r>
    </w:p>
    <w:p w:rsidR="003D1AD4" w:rsidRPr="003D1AD4" w:rsidRDefault="003D1AD4" w:rsidP="003D1AD4">
      <w:pPr>
        <w:pStyle w:val="Default"/>
        <w:numPr>
          <w:ilvl w:val="0"/>
          <w:numId w:val="2"/>
        </w:numPr>
        <w:spacing w:after="6"/>
        <w:rPr>
          <w:rFonts w:asciiTheme="minorHAnsi" w:hAnsiTheme="minorHAnsi" w:cstheme="minorHAnsi"/>
          <w:color w:val="000000" w:themeColor="text1"/>
          <w:sz w:val="22"/>
          <w:szCs w:val="22"/>
        </w:rPr>
      </w:pPr>
      <w:r w:rsidRPr="003D1AD4">
        <w:rPr>
          <w:rFonts w:asciiTheme="minorHAnsi" w:hAnsiTheme="minorHAnsi" w:cstheme="minorHAnsi"/>
          <w:color w:val="000000" w:themeColor="text1"/>
          <w:sz w:val="22"/>
          <w:szCs w:val="22"/>
        </w:rPr>
        <w:t>We recognise that sharing of staff might give the best overall outcome for the people we support.</w:t>
      </w:r>
    </w:p>
    <w:p w:rsidR="003D1AD4" w:rsidRPr="003D1AD4" w:rsidRDefault="003D1AD4" w:rsidP="003D1AD4">
      <w:pPr>
        <w:pStyle w:val="Default"/>
        <w:numPr>
          <w:ilvl w:val="0"/>
          <w:numId w:val="2"/>
        </w:numPr>
        <w:spacing w:after="6"/>
        <w:rPr>
          <w:rFonts w:asciiTheme="minorHAnsi" w:hAnsiTheme="minorHAnsi" w:cstheme="minorHAnsi"/>
          <w:color w:val="000000" w:themeColor="text1"/>
          <w:sz w:val="22"/>
          <w:szCs w:val="22"/>
        </w:rPr>
      </w:pPr>
      <w:r w:rsidRPr="003D1AD4">
        <w:rPr>
          <w:rFonts w:asciiTheme="minorHAnsi" w:hAnsiTheme="minorHAnsi" w:cstheme="minorHAnsi"/>
          <w:color w:val="000000" w:themeColor="text1"/>
          <w:sz w:val="22"/>
          <w:szCs w:val="22"/>
        </w:rPr>
        <w:t xml:space="preserve">There are lots of barriers to sharing of staff; we will all apply best efforts overcome these barriers and make it work.  </w:t>
      </w:r>
    </w:p>
    <w:p w:rsidR="008A50A0" w:rsidRPr="008A50A0" w:rsidRDefault="008A50A0" w:rsidP="008A50A0">
      <w:pPr>
        <w:pStyle w:val="Default"/>
        <w:numPr>
          <w:ilvl w:val="0"/>
          <w:numId w:val="2"/>
        </w:numPr>
        <w:spacing w:after="6"/>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We recognise how passionate and motivated our workforce are </w:t>
      </w:r>
      <w:r w:rsidR="00BE47BB">
        <w:rPr>
          <w:rFonts w:asciiTheme="minorHAnsi" w:hAnsiTheme="minorHAnsi" w:cstheme="minorHAnsi"/>
          <w:color w:val="auto"/>
          <w:sz w:val="22"/>
          <w:szCs w:val="22"/>
        </w:rPr>
        <w:t xml:space="preserve">however it is acknowledged that due to individual circumstances it may not be possible for every staff member to be </w:t>
      </w:r>
      <w:r w:rsidR="002D5EDC">
        <w:rPr>
          <w:rFonts w:asciiTheme="minorHAnsi" w:hAnsiTheme="minorHAnsi" w:cstheme="minorHAnsi"/>
          <w:color w:val="auto"/>
          <w:sz w:val="22"/>
          <w:szCs w:val="22"/>
        </w:rPr>
        <w:t>re</w:t>
      </w:r>
      <w:r w:rsidR="00BE47BB">
        <w:rPr>
          <w:rFonts w:asciiTheme="minorHAnsi" w:hAnsiTheme="minorHAnsi" w:cstheme="minorHAnsi"/>
          <w:color w:val="auto"/>
          <w:sz w:val="22"/>
          <w:szCs w:val="22"/>
        </w:rPr>
        <w:t xml:space="preserve">deployed. </w:t>
      </w:r>
    </w:p>
    <w:p w:rsidR="008A50A0" w:rsidRPr="008A50A0" w:rsidRDefault="008A50A0" w:rsidP="008A50A0">
      <w:pPr>
        <w:pStyle w:val="Default"/>
        <w:numPr>
          <w:ilvl w:val="0"/>
          <w:numId w:val="2"/>
        </w:numPr>
        <w:spacing w:after="6"/>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Any </w:t>
      </w:r>
      <w:r w:rsidR="008C123A">
        <w:rPr>
          <w:rFonts w:asciiTheme="minorHAnsi" w:hAnsiTheme="minorHAnsi" w:cstheme="minorHAnsi"/>
          <w:color w:val="auto"/>
          <w:sz w:val="22"/>
          <w:szCs w:val="22"/>
        </w:rPr>
        <w:t>redeployment</w:t>
      </w:r>
      <w:r w:rsidR="008C123A" w:rsidRPr="008A50A0">
        <w:rPr>
          <w:rFonts w:asciiTheme="minorHAnsi" w:hAnsiTheme="minorHAnsi" w:cstheme="minorHAnsi"/>
          <w:color w:val="auto"/>
          <w:sz w:val="22"/>
          <w:szCs w:val="22"/>
        </w:rPr>
        <w:t xml:space="preserve"> </w:t>
      </w:r>
      <w:r w:rsidRPr="008A50A0">
        <w:rPr>
          <w:rFonts w:asciiTheme="minorHAnsi" w:hAnsiTheme="minorHAnsi" w:cstheme="minorHAnsi"/>
          <w:color w:val="auto"/>
          <w:sz w:val="22"/>
          <w:szCs w:val="22"/>
        </w:rPr>
        <w:t xml:space="preserve">of staff must be supported by appropriate briefing, sharing of information and where required, resources to facilitate and ensure a safe working environment. </w:t>
      </w:r>
    </w:p>
    <w:p w:rsidR="008A50A0" w:rsidRPr="008A50A0" w:rsidRDefault="008A50A0" w:rsidP="008A50A0">
      <w:pPr>
        <w:pStyle w:val="Default"/>
        <w:numPr>
          <w:ilvl w:val="0"/>
          <w:numId w:val="2"/>
        </w:numPr>
        <w:spacing w:after="6"/>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Any arrangements to share staff across the system in response to COVID-19 is done so in good faith and with the best of intentions. Any issues arising as a result of this should be considered in this context and a timely and mutually agreeable resolution sought. </w:t>
      </w:r>
    </w:p>
    <w:p w:rsidR="008A50A0" w:rsidRPr="003D1AD4" w:rsidRDefault="008A50A0" w:rsidP="00582D69">
      <w:pPr>
        <w:pStyle w:val="Default"/>
        <w:numPr>
          <w:ilvl w:val="0"/>
          <w:numId w:val="2"/>
        </w:numPr>
        <w:rPr>
          <w:rFonts w:asciiTheme="minorHAnsi" w:hAnsiTheme="minorHAnsi" w:cstheme="minorHAnsi"/>
          <w:color w:val="000000" w:themeColor="text1"/>
          <w:sz w:val="22"/>
          <w:szCs w:val="22"/>
        </w:rPr>
      </w:pPr>
      <w:r w:rsidRPr="003D1AD4">
        <w:rPr>
          <w:rFonts w:asciiTheme="minorHAnsi" w:hAnsiTheme="minorHAnsi" w:cstheme="minorHAnsi"/>
          <w:color w:val="000000" w:themeColor="text1"/>
          <w:sz w:val="22"/>
          <w:szCs w:val="22"/>
        </w:rPr>
        <w:t xml:space="preserve">As a demonstration of commitment, </w:t>
      </w:r>
      <w:r w:rsidR="003D1AD4" w:rsidRPr="003D1AD4">
        <w:rPr>
          <w:rFonts w:asciiTheme="minorHAnsi" w:hAnsiTheme="minorHAnsi" w:cstheme="minorHAnsi"/>
          <w:color w:val="000000" w:themeColor="text1"/>
          <w:sz w:val="22"/>
          <w:szCs w:val="22"/>
        </w:rPr>
        <w:t>we ask that Provider organisations sign up to these principles.</w:t>
      </w:r>
    </w:p>
    <w:p w:rsidR="003D1AD4" w:rsidRPr="003D1AD4" w:rsidRDefault="003D1AD4" w:rsidP="003D1AD4">
      <w:pPr>
        <w:pStyle w:val="Default"/>
        <w:ind w:left="720"/>
        <w:rPr>
          <w:rFonts w:asciiTheme="minorHAnsi" w:hAnsiTheme="minorHAnsi" w:cstheme="minorHAnsi"/>
          <w:color w:val="auto"/>
          <w:sz w:val="22"/>
          <w:szCs w:val="22"/>
        </w:rPr>
      </w:pPr>
    </w:p>
    <w:p w:rsidR="008A50A0" w:rsidRPr="003D1AD4" w:rsidRDefault="008A50A0" w:rsidP="008A50A0">
      <w:pPr>
        <w:pStyle w:val="Heading3"/>
        <w:rPr>
          <w:b/>
          <w:bCs/>
        </w:rPr>
      </w:pPr>
      <w:r w:rsidRPr="003D1AD4">
        <w:rPr>
          <w:b/>
          <w:bCs/>
        </w:rPr>
        <w:t xml:space="preserve">Suggested working arrangements </w:t>
      </w:r>
    </w:p>
    <w:p w:rsidR="00E11E3F" w:rsidRPr="003D1AD4" w:rsidRDefault="00E11E3F" w:rsidP="008A50A0">
      <w:pPr>
        <w:pStyle w:val="Heading4"/>
        <w:rPr>
          <w:b/>
          <w:bCs/>
        </w:rPr>
      </w:pPr>
      <w:r w:rsidRPr="003D1AD4">
        <w:rPr>
          <w:b/>
          <w:bCs/>
        </w:rPr>
        <w:t>Co-ordination</w:t>
      </w:r>
      <w:r w:rsidR="008C123A" w:rsidRPr="003D1AD4">
        <w:rPr>
          <w:b/>
          <w:bCs/>
        </w:rPr>
        <w:t xml:space="preserve">, </w:t>
      </w:r>
      <w:r w:rsidRPr="003D1AD4">
        <w:rPr>
          <w:b/>
          <w:bCs/>
        </w:rPr>
        <w:t>communication</w:t>
      </w:r>
      <w:r w:rsidR="008C123A" w:rsidRPr="003D1AD4">
        <w:rPr>
          <w:b/>
          <w:bCs/>
        </w:rPr>
        <w:t xml:space="preserve"> and commitment</w:t>
      </w:r>
    </w:p>
    <w:p w:rsidR="00E11E3F" w:rsidRDefault="00E11E3F" w:rsidP="00E11E3F">
      <w:pPr>
        <w:pStyle w:val="Heading4"/>
        <w:numPr>
          <w:ilvl w:val="0"/>
          <w:numId w:val="8"/>
        </w:numPr>
        <w:rPr>
          <w:rFonts w:asciiTheme="minorHAnsi" w:eastAsiaTheme="minorHAnsi" w:hAnsiTheme="minorHAnsi" w:cstheme="minorHAnsi"/>
          <w:i w:val="0"/>
          <w:iCs w:val="0"/>
          <w:color w:val="auto"/>
        </w:rPr>
      </w:pPr>
      <w:r>
        <w:rPr>
          <w:rFonts w:asciiTheme="minorHAnsi" w:eastAsiaTheme="minorHAnsi" w:hAnsiTheme="minorHAnsi" w:cstheme="minorHAnsi"/>
          <w:i w:val="0"/>
          <w:iCs w:val="0"/>
          <w:color w:val="auto"/>
        </w:rPr>
        <w:t xml:space="preserve">Both the receiving organisation and the </w:t>
      </w:r>
      <w:r w:rsidR="003D1AD4">
        <w:rPr>
          <w:rFonts w:asciiTheme="minorHAnsi" w:eastAsiaTheme="minorHAnsi" w:hAnsiTheme="minorHAnsi" w:cstheme="minorHAnsi"/>
          <w:i w:val="0"/>
          <w:iCs w:val="0"/>
          <w:color w:val="auto"/>
        </w:rPr>
        <w:t>deploying</w:t>
      </w:r>
      <w:r>
        <w:rPr>
          <w:rFonts w:asciiTheme="minorHAnsi" w:eastAsiaTheme="minorHAnsi" w:hAnsiTheme="minorHAnsi" w:cstheme="minorHAnsi"/>
          <w:i w:val="0"/>
          <w:iCs w:val="0"/>
          <w:color w:val="auto"/>
        </w:rPr>
        <w:t xml:space="preserve"> organisation will provide a main point of contact for liaising about the </w:t>
      </w:r>
      <w:r w:rsidR="00217525">
        <w:rPr>
          <w:rFonts w:asciiTheme="minorHAnsi" w:eastAsiaTheme="minorHAnsi" w:hAnsiTheme="minorHAnsi" w:cstheme="minorHAnsi"/>
          <w:i w:val="0"/>
          <w:iCs w:val="0"/>
          <w:color w:val="auto"/>
        </w:rPr>
        <w:t xml:space="preserve">deployment of staff between the organisations. </w:t>
      </w:r>
    </w:p>
    <w:p w:rsidR="00217525" w:rsidRDefault="00217525" w:rsidP="00217525">
      <w:pPr>
        <w:pStyle w:val="ListParagraph"/>
        <w:numPr>
          <w:ilvl w:val="0"/>
          <w:numId w:val="8"/>
        </w:numPr>
      </w:pPr>
      <w:r>
        <w:t>Decisions about the redeployment of staff will be based on risk</w:t>
      </w:r>
      <w:r w:rsidR="008C123A">
        <w:t>,</w:t>
      </w:r>
      <w:r>
        <w:t xml:space="preserve"> with priority being allocated to those in the greatest need. </w:t>
      </w:r>
    </w:p>
    <w:p w:rsidR="008C123A" w:rsidRPr="00217525" w:rsidRDefault="008C123A" w:rsidP="003D1AD4">
      <w:pPr>
        <w:pStyle w:val="ListParagraph"/>
        <w:numPr>
          <w:ilvl w:val="0"/>
          <w:numId w:val="8"/>
        </w:numPr>
      </w:pPr>
      <w:r>
        <w:t xml:space="preserve">Both organisations will confirm their commitment to this statement before deployment takes place. </w:t>
      </w:r>
    </w:p>
    <w:p w:rsidR="008A50A0" w:rsidRPr="003D1AD4" w:rsidRDefault="008A50A0" w:rsidP="008A50A0">
      <w:pPr>
        <w:pStyle w:val="Heading4"/>
        <w:rPr>
          <w:b/>
          <w:bCs/>
        </w:rPr>
      </w:pPr>
      <w:r w:rsidRPr="003D1AD4">
        <w:rPr>
          <w:b/>
          <w:bCs/>
        </w:rPr>
        <w:t xml:space="preserve">Employment and </w:t>
      </w:r>
      <w:r w:rsidR="002D5EDC">
        <w:rPr>
          <w:b/>
          <w:bCs/>
        </w:rPr>
        <w:t>P</w:t>
      </w:r>
      <w:r w:rsidRPr="003D1AD4">
        <w:rPr>
          <w:b/>
          <w:bCs/>
        </w:rPr>
        <w:t xml:space="preserve">ayment </w:t>
      </w:r>
    </w:p>
    <w:p w:rsidR="008A50A0" w:rsidRPr="008A50A0" w:rsidRDefault="008A50A0" w:rsidP="008A50A0">
      <w:pPr>
        <w:pStyle w:val="Default"/>
        <w:numPr>
          <w:ilvl w:val="0"/>
          <w:numId w:val="4"/>
        </w:numPr>
        <w:spacing w:after="6"/>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Staff remain in the employment of the </w:t>
      </w:r>
      <w:r w:rsidR="00515956">
        <w:rPr>
          <w:rFonts w:asciiTheme="minorHAnsi" w:hAnsiTheme="minorHAnsi" w:cstheme="minorHAnsi"/>
          <w:color w:val="auto"/>
          <w:sz w:val="22"/>
          <w:szCs w:val="22"/>
        </w:rPr>
        <w:t>deploying</w:t>
      </w:r>
      <w:r w:rsidRPr="008A50A0">
        <w:rPr>
          <w:rFonts w:asciiTheme="minorHAnsi" w:hAnsiTheme="minorHAnsi" w:cstheme="minorHAnsi"/>
          <w:color w:val="auto"/>
          <w:sz w:val="22"/>
          <w:szCs w:val="22"/>
        </w:rPr>
        <w:t xml:space="preserve"> organisation and will continue to be paid in accordance with their contract of employment. This includes any special arrangements established as part of the COVID-19 response plans in relation to the payment of overtime. </w:t>
      </w:r>
    </w:p>
    <w:p w:rsidR="008A50A0" w:rsidRDefault="008A50A0" w:rsidP="008A50A0">
      <w:pPr>
        <w:pStyle w:val="Default"/>
        <w:numPr>
          <w:ilvl w:val="0"/>
          <w:numId w:val="4"/>
        </w:numPr>
        <w:spacing w:after="6"/>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Any additional hours worked over and above their contractual hours will be recorded and paid by the </w:t>
      </w:r>
      <w:r w:rsidR="00515956">
        <w:rPr>
          <w:rFonts w:asciiTheme="minorHAnsi" w:hAnsiTheme="minorHAnsi" w:cstheme="minorHAnsi"/>
          <w:color w:val="auto"/>
          <w:sz w:val="22"/>
          <w:szCs w:val="22"/>
        </w:rPr>
        <w:t>deploying</w:t>
      </w:r>
      <w:r w:rsidRPr="008A50A0">
        <w:rPr>
          <w:rFonts w:asciiTheme="minorHAnsi" w:hAnsiTheme="minorHAnsi" w:cstheme="minorHAnsi"/>
          <w:color w:val="auto"/>
          <w:sz w:val="22"/>
          <w:szCs w:val="22"/>
        </w:rPr>
        <w:t xml:space="preserve"> organisation. </w:t>
      </w:r>
    </w:p>
    <w:p w:rsidR="00515956" w:rsidRPr="00515956" w:rsidRDefault="00515956" w:rsidP="00515956">
      <w:pPr>
        <w:pStyle w:val="Default"/>
        <w:numPr>
          <w:ilvl w:val="0"/>
          <w:numId w:val="4"/>
        </w:numPr>
        <w:spacing w:after="6"/>
        <w:rPr>
          <w:rFonts w:asciiTheme="minorHAnsi" w:hAnsiTheme="minorHAnsi" w:cstheme="minorHAnsi"/>
          <w:color w:val="auto"/>
          <w:sz w:val="22"/>
          <w:szCs w:val="22"/>
        </w:rPr>
      </w:pPr>
      <w:r w:rsidRPr="00515956">
        <w:rPr>
          <w:rFonts w:asciiTheme="minorHAnsi" w:hAnsiTheme="minorHAnsi" w:cstheme="minorHAnsi"/>
          <w:color w:val="auto"/>
          <w:sz w:val="22"/>
          <w:szCs w:val="22"/>
        </w:rPr>
        <w:t>Whil</w:t>
      </w:r>
      <w:r>
        <w:rPr>
          <w:rFonts w:asciiTheme="minorHAnsi" w:hAnsiTheme="minorHAnsi" w:cstheme="minorHAnsi"/>
          <w:color w:val="auto"/>
          <w:sz w:val="22"/>
          <w:szCs w:val="22"/>
        </w:rPr>
        <w:t>st</w:t>
      </w:r>
      <w:r w:rsidRPr="00515956">
        <w:rPr>
          <w:rFonts w:asciiTheme="minorHAnsi" w:hAnsiTheme="minorHAnsi" w:cstheme="minorHAnsi"/>
          <w:color w:val="auto"/>
          <w:sz w:val="22"/>
          <w:szCs w:val="22"/>
        </w:rPr>
        <w:t xml:space="preserve"> details regarding funding arrange</w:t>
      </w:r>
      <w:r>
        <w:rPr>
          <w:rFonts w:asciiTheme="minorHAnsi" w:hAnsiTheme="minorHAnsi" w:cstheme="minorHAnsi"/>
          <w:color w:val="auto"/>
          <w:sz w:val="22"/>
          <w:szCs w:val="22"/>
        </w:rPr>
        <w:t>ments</w:t>
      </w:r>
      <w:r w:rsidRPr="00515956">
        <w:rPr>
          <w:rFonts w:asciiTheme="minorHAnsi" w:hAnsiTheme="minorHAnsi" w:cstheme="minorHAnsi"/>
          <w:color w:val="auto"/>
          <w:sz w:val="22"/>
          <w:szCs w:val="22"/>
        </w:rPr>
        <w:t xml:space="preserve"> will vary from </w:t>
      </w:r>
      <w:r>
        <w:rPr>
          <w:rFonts w:asciiTheme="minorHAnsi" w:hAnsiTheme="minorHAnsi" w:cstheme="minorHAnsi"/>
          <w:color w:val="auto"/>
          <w:sz w:val="22"/>
          <w:szCs w:val="22"/>
        </w:rPr>
        <w:t>one situation to another</w:t>
      </w:r>
      <w:r w:rsidRPr="00515956">
        <w:rPr>
          <w:rFonts w:asciiTheme="minorHAnsi" w:hAnsiTheme="minorHAnsi" w:cstheme="minorHAnsi"/>
          <w:color w:val="auto"/>
          <w:sz w:val="22"/>
          <w:szCs w:val="22"/>
        </w:rPr>
        <w:t xml:space="preserve">, </w:t>
      </w:r>
      <w:r>
        <w:rPr>
          <w:rFonts w:asciiTheme="minorHAnsi" w:hAnsiTheme="minorHAnsi" w:cstheme="minorHAnsi"/>
          <w:color w:val="auto"/>
          <w:sz w:val="22"/>
          <w:szCs w:val="22"/>
        </w:rPr>
        <w:t>Surrey County Council</w:t>
      </w:r>
      <w:r w:rsidRPr="00515956">
        <w:rPr>
          <w:rFonts w:asciiTheme="minorHAnsi" w:hAnsiTheme="minorHAnsi" w:cstheme="minorHAnsi"/>
          <w:color w:val="auto"/>
          <w:sz w:val="22"/>
          <w:szCs w:val="22"/>
        </w:rPr>
        <w:t xml:space="preserve"> will </w:t>
      </w:r>
      <w:r w:rsidR="009C476D">
        <w:rPr>
          <w:rFonts w:asciiTheme="minorHAnsi" w:hAnsiTheme="minorHAnsi" w:cstheme="minorHAnsi"/>
          <w:color w:val="auto"/>
          <w:sz w:val="22"/>
          <w:szCs w:val="22"/>
        </w:rPr>
        <w:t>mediate between</w:t>
      </w:r>
      <w:r>
        <w:rPr>
          <w:rFonts w:asciiTheme="minorHAnsi" w:hAnsiTheme="minorHAnsi" w:cstheme="minorHAnsi"/>
          <w:color w:val="auto"/>
          <w:sz w:val="22"/>
          <w:szCs w:val="22"/>
        </w:rPr>
        <w:t xml:space="preserve"> providers to </w:t>
      </w:r>
      <w:r w:rsidRPr="00515956">
        <w:rPr>
          <w:rFonts w:asciiTheme="minorHAnsi" w:hAnsiTheme="minorHAnsi" w:cstheme="minorHAnsi"/>
          <w:color w:val="auto"/>
          <w:sz w:val="22"/>
          <w:szCs w:val="22"/>
        </w:rPr>
        <w:t xml:space="preserve">ensure that neither the </w:t>
      </w:r>
      <w:r>
        <w:rPr>
          <w:rFonts w:asciiTheme="minorHAnsi" w:hAnsiTheme="minorHAnsi" w:cstheme="minorHAnsi"/>
          <w:color w:val="auto"/>
          <w:sz w:val="22"/>
          <w:szCs w:val="22"/>
        </w:rPr>
        <w:t>deploying</w:t>
      </w:r>
      <w:r w:rsidRPr="00515956">
        <w:rPr>
          <w:rFonts w:asciiTheme="minorHAnsi" w:hAnsiTheme="minorHAnsi" w:cstheme="minorHAnsi"/>
          <w:color w:val="auto"/>
          <w:sz w:val="22"/>
          <w:szCs w:val="22"/>
        </w:rPr>
        <w:t xml:space="preserve"> </w:t>
      </w:r>
      <w:r>
        <w:rPr>
          <w:rFonts w:asciiTheme="minorHAnsi" w:hAnsiTheme="minorHAnsi" w:cstheme="minorHAnsi"/>
          <w:color w:val="auto"/>
          <w:sz w:val="22"/>
          <w:szCs w:val="22"/>
        </w:rPr>
        <w:t>n</w:t>
      </w:r>
      <w:r w:rsidRPr="00515956">
        <w:rPr>
          <w:rFonts w:asciiTheme="minorHAnsi" w:hAnsiTheme="minorHAnsi" w:cstheme="minorHAnsi"/>
          <w:color w:val="auto"/>
          <w:sz w:val="22"/>
          <w:szCs w:val="22"/>
        </w:rPr>
        <w:t xml:space="preserve">or </w:t>
      </w:r>
      <w:r>
        <w:rPr>
          <w:rFonts w:asciiTheme="minorHAnsi" w:hAnsiTheme="minorHAnsi" w:cstheme="minorHAnsi"/>
          <w:color w:val="auto"/>
          <w:sz w:val="22"/>
          <w:szCs w:val="22"/>
        </w:rPr>
        <w:t>the receiving</w:t>
      </w:r>
      <w:r w:rsidRPr="00515956">
        <w:rPr>
          <w:rFonts w:asciiTheme="minorHAnsi" w:hAnsiTheme="minorHAnsi" w:cstheme="minorHAnsi"/>
          <w:color w:val="auto"/>
          <w:sz w:val="22"/>
          <w:szCs w:val="22"/>
        </w:rPr>
        <w:t xml:space="preserve"> organisation </w:t>
      </w:r>
      <w:r>
        <w:rPr>
          <w:rFonts w:asciiTheme="minorHAnsi" w:hAnsiTheme="minorHAnsi" w:cstheme="minorHAnsi"/>
          <w:color w:val="auto"/>
          <w:sz w:val="22"/>
          <w:szCs w:val="22"/>
        </w:rPr>
        <w:t>is</w:t>
      </w:r>
      <w:r w:rsidRPr="00515956">
        <w:rPr>
          <w:rFonts w:asciiTheme="minorHAnsi" w:hAnsiTheme="minorHAnsi" w:cstheme="minorHAnsi"/>
          <w:color w:val="auto"/>
          <w:sz w:val="22"/>
          <w:szCs w:val="22"/>
        </w:rPr>
        <w:t xml:space="preserve"> financially disadvantaged from facilitating these</w:t>
      </w:r>
      <w:r>
        <w:rPr>
          <w:rFonts w:asciiTheme="minorHAnsi" w:hAnsiTheme="minorHAnsi" w:cstheme="minorHAnsi"/>
          <w:color w:val="auto"/>
          <w:sz w:val="22"/>
          <w:szCs w:val="22"/>
        </w:rPr>
        <w:t xml:space="preserve"> </w:t>
      </w:r>
      <w:r w:rsidRPr="00515956">
        <w:rPr>
          <w:rFonts w:asciiTheme="minorHAnsi" w:hAnsiTheme="minorHAnsi" w:cstheme="minorHAnsi"/>
          <w:color w:val="auto"/>
          <w:sz w:val="22"/>
          <w:szCs w:val="22"/>
        </w:rPr>
        <w:t>arrangements</w:t>
      </w:r>
      <w:r>
        <w:rPr>
          <w:rFonts w:asciiTheme="minorHAnsi" w:hAnsiTheme="minorHAnsi" w:cstheme="minorHAnsi"/>
          <w:color w:val="auto"/>
          <w:sz w:val="22"/>
          <w:szCs w:val="22"/>
        </w:rPr>
        <w:t>.</w:t>
      </w:r>
    </w:p>
    <w:p w:rsidR="008A50A0" w:rsidRDefault="008A50A0" w:rsidP="008A50A0">
      <w:pPr>
        <w:pStyle w:val="Default"/>
        <w:numPr>
          <w:ilvl w:val="0"/>
          <w:numId w:val="4"/>
        </w:numPr>
        <w:rPr>
          <w:rFonts w:asciiTheme="minorHAnsi" w:hAnsiTheme="minorHAnsi" w:cstheme="minorHAnsi"/>
          <w:color w:val="auto"/>
          <w:sz w:val="22"/>
          <w:szCs w:val="22"/>
        </w:rPr>
      </w:pPr>
      <w:r w:rsidRPr="008A50A0">
        <w:rPr>
          <w:rFonts w:asciiTheme="minorHAnsi" w:hAnsiTheme="minorHAnsi" w:cstheme="minorHAnsi"/>
          <w:color w:val="auto"/>
          <w:sz w:val="22"/>
          <w:szCs w:val="22"/>
        </w:rPr>
        <w:lastRenderedPageBreak/>
        <w:t xml:space="preserve">Substantive managers are responsible for monitoring the total number of hours worked to ensure payment and compliance with the WTR as well as the wellbeing of the employee. </w:t>
      </w:r>
    </w:p>
    <w:p w:rsidR="005811B1" w:rsidRPr="008A50A0" w:rsidRDefault="005811B1" w:rsidP="008A50A0">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 xml:space="preserve">It is for the deploying organisation, as they deem appropriate, to put in place additional agreements with individual staff members who are being deployed. </w:t>
      </w:r>
    </w:p>
    <w:p w:rsidR="008A50A0" w:rsidRPr="003D1AD4" w:rsidRDefault="008A50A0" w:rsidP="008A50A0">
      <w:pPr>
        <w:pStyle w:val="Heading4"/>
        <w:rPr>
          <w:b/>
          <w:bCs/>
        </w:rPr>
      </w:pPr>
      <w:r w:rsidRPr="003D1AD4">
        <w:rPr>
          <w:b/>
          <w:bCs/>
        </w:rPr>
        <w:t xml:space="preserve">Insurance </w:t>
      </w:r>
    </w:p>
    <w:p w:rsidR="00D13093" w:rsidRDefault="00515956" w:rsidP="00E31C4D">
      <w:pPr>
        <w:pStyle w:val="Default"/>
        <w:numPr>
          <w:ilvl w:val="0"/>
          <w:numId w:val="4"/>
        </w:numPr>
        <w:spacing w:after="6"/>
        <w:rPr>
          <w:rFonts w:asciiTheme="minorHAnsi" w:hAnsiTheme="minorHAnsi" w:cstheme="minorHAnsi"/>
          <w:color w:val="auto"/>
          <w:sz w:val="22"/>
          <w:szCs w:val="22"/>
        </w:rPr>
      </w:pPr>
      <w:r>
        <w:rPr>
          <w:rFonts w:asciiTheme="minorHAnsi" w:hAnsiTheme="minorHAnsi" w:cstheme="minorHAnsi"/>
          <w:color w:val="auto"/>
          <w:sz w:val="22"/>
          <w:szCs w:val="22"/>
        </w:rPr>
        <w:t>Receiving p</w:t>
      </w:r>
      <w:r w:rsidR="00D13093" w:rsidRPr="00D13093">
        <w:rPr>
          <w:rFonts w:asciiTheme="minorHAnsi" w:hAnsiTheme="minorHAnsi" w:cstheme="minorHAnsi"/>
          <w:color w:val="auto"/>
          <w:sz w:val="22"/>
          <w:szCs w:val="22"/>
        </w:rPr>
        <w:t>roviders must ensure that all and any work undertaken for them by the employee of another provider is covered by their own insurance and liability arrangements</w:t>
      </w:r>
      <w:r w:rsidR="00D13093">
        <w:rPr>
          <w:rFonts w:asciiTheme="minorHAnsi" w:hAnsiTheme="minorHAnsi" w:cstheme="minorHAnsi"/>
          <w:color w:val="auto"/>
          <w:sz w:val="22"/>
          <w:szCs w:val="22"/>
        </w:rPr>
        <w:t>.</w:t>
      </w:r>
    </w:p>
    <w:p w:rsidR="00D13093" w:rsidRPr="00D13093" w:rsidRDefault="008A50A0" w:rsidP="00D723F5">
      <w:pPr>
        <w:pStyle w:val="Default"/>
        <w:numPr>
          <w:ilvl w:val="0"/>
          <w:numId w:val="4"/>
        </w:numPr>
        <w:spacing w:after="6"/>
        <w:rPr>
          <w:rFonts w:asciiTheme="minorHAnsi" w:hAnsiTheme="minorHAnsi" w:cstheme="minorHAnsi"/>
          <w:color w:val="auto"/>
          <w:sz w:val="22"/>
          <w:szCs w:val="22"/>
        </w:rPr>
      </w:pPr>
      <w:r w:rsidRPr="00D13093">
        <w:rPr>
          <w:rFonts w:asciiTheme="minorHAnsi" w:hAnsiTheme="minorHAnsi" w:cstheme="minorHAnsi"/>
          <w:color w:val="auto"/>
          <w:sz w:val="22"/>
          <w:szCs w:val="22"/>
        </w:rPr>
        <w:t>Ensuring this, liability for loss or damage and health and safety duties are the responsibility of the</w:t>
      </w:r>
      <w:r w:rsidR="00D13093" w:rsidRPr="00D13093">
        <w:rPr>
          <w:rFonts w:asciiTheme="minorHAnsi" w:hAnsiTheme="minorHAnsi" w:cstheme="minorHAnsi"/>
          <w:color w:val="auto"/>
          <w:sz w:val="22"/>
          <w:szCs w:val="22"/>
        </w:rPr>
        <w:t xml:space="preserve"> receiving organisation.</w:t>
      </w:r>
    </w:p>
    <w:p w:rsidR="008A50A0" w:rsidRPr="003D1AD4" w:rsidRDefault="008A50A0" w:rsidP="008A50A0">
      <w:pPr>
        <w:pStyle w:val="Heading4"/>
        <w:rPr>
          <w:b/>
          <w:bCs/>
        </w:rPr>
      </w:pPr>
      <w:r w:rsidRPr="003D1AD4">
        <w:rPr>
          <w:b/>
          <w:bCs/>
        </w:rPr>
        <w:t>Induction and</w:t>
      </w:r>
      <w:r w:rsidR="002D5EDC">
        <w:rPr>
          <w:b/>
          <w:bCs/>
        </w:rPr>
        <w:t xml:space="preserve"> S</w:t>
      </w:r>
      <w:r w:rsidRPr="003D1AD4">
        <w:rPr>
          <w:b/>
          <w:bCs/>
        </w:rPr>
        <w:t xml:space="preserve">upervision </w:t>
      </w:r>
    </w:p>
    <w:p w:rsidR="008A50A0" w:rsidRPr="008A50A0" w:rsidRDefault="00515956" w:rsidP="008A50A0">
      <w:pPr>
        <w:pStyle w:val="Default"/>
        <w:numPr>
          <w:ilvl w:val="0"/>
          <w:numId w:val="4"/>
        </w:numPr>
        <w:spacing w:after="2"/>
        <w:rPr>
          <w:rFonts w:asciiTheme="minorHAnsi" w:hAnsiTheme="minorHAnsi" w:cstheme="minorHAnsi"/>
          <w:color w:val="auto"/>
          <w:sz w:val="22"/>
          <w:szCs w:val="22"/>
        </w:rPr>
      </w:pPr>
      <w:r>
        <w:rPr>
          <w:rFonts w:asciiTheme="minorHAnsi" w:hAnsiTheme="minorHAnsi" w:cstheme="minorHAnsi"/>
          <w:color w:val="auto"/>
          <w:sz w:val="22"/>
          <w:szCs w:val="22"/>
        </w:rPr>
        <w:t>Both p</w:t>
      </w:r>
      <w:r w:rsidR="008A50A0" w:rsidRPr="008A50A0">
        <w:rPr>
          <w:rFonts w:asciiTheme="minorHAnsi" w:hAnsiTheme="minorHAnsi" w:cstheme="minorHAnsi"/>
          <w:color w:val="auto"/>
          <w:sz w:val="22"/>
          <w:szCs w:val="22"/>
        </w:rPr>
        <w:t xml:space="preserve">roviders must ensure appropriate arrangements are in place to fully brief any worker undertaking work for them under this arrangement to ensure the safety and wellbeing of all workers and residents is supported. </w:t>
      </w:r>
    </w:p>
    <w:p w:rsidR="008A50A0" w:rsidRDefault="008A50A0" w:rsidP="008A50A0">
      <w:pPr>
        <w:pStyle w:val="Default"/>
        <w:numPr>
          <w:ilvl w:val="0"/>
          <w:numId w:val="4"/>
        </w:numPr>
        <w:spacing w:after="2"/>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All individuals must be assigned a supervisor for that shift and provided with their contact details for any queries or concerns to be raised and addressed in a timely manner. This includes the reporting of any incidents or accidents which should be recorded by both the employer and the provider. </w:t>
      </w:r>
    </w:p>
    <w:p w:rsidR="008A50A0" w:rsidRPr="008A50A0" w:rsidRDefault="008A50A0" w:rsidP="008A50A0">
      <w:pPr>
        <w:pStyle w:val="Default"/>
        <w:numPr>
          <w:ilvl w:val="0"/>
          <w:numId w:val="4"/>
        </w:numPr>
        <w:spacing w:after="2"/>
        <w:rPr>
          <w:rFonts w:asciiTheme="minorHAnsi" w:hAnsiTheme="minorHAnsi" w:cstheme="minorHAnsi"/>
          <w:color w:val="auto"/>
          <w:sz w:val="22"/>
          <w:szCs w:val="22"/>
        </w:rPr>
      </w:pPr>
      <w:r>
        <w:rPr>
          <w:rFonts w:asciiTheme="minorHAnsi" w:hAnsiTheme="minorHAnsi" w:cstheme="minorHAnsi"/>
          <w:color w:val="auto"/>
          <w:sz w:val="22"/>
          <w:szCs w:val="22"/>
        </w:rPr>
        <w:t xml:space="preserve">If an employee is unable to attend work as planned, they must notify their substantive manager </w:t>
      </w:r>
      <w:r w:rsidR="001B5B33">
        <w:rPr>
          <w:rFonts w:asciiTheme="minorHAnsi" w:hAnsiTheme="minorHAnsi" w:cstheme="minorHAnsi"/>
          <w:color w:val="auto"/>
          <w:sz w:val="22"/>
          <w:szCs w:val="22"/>
        </w:rPr>
        <w:t xml:space="preserve">who </w:t>
      </w:r>
      <w:r>
        <w:rPr>
          <w:rFonts w:asciiTheme="minorHAnsi" w:hAnsiTheme="minorHAnsi" w:cstheme="minorHAnsi"/>
          <w:color w:val="auto"/>
          <w:sz w:val="22"/>
          <w:szCs w:val="22"/>
        </w:rPr>
        <w:t>will notify any provider the employee was due to deliver work for.</w:t>
      </w:r>
    </w:p>
    <w:p w:rsidR="008A50A0" w:rsidRPr="008A50A0" w:rsidRDefault="008A50A0" w:rsidP="008A50A0">
      <w:pPr>
        <w:pStyle w:val="Default"/>
        <w:numPr>
          <w:ilvl w:val="0"/>
          <w:numId w:val="4"/>
        </w:numPr>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Any concerns about the performance of any worker should be shared by the supervisor with the employee’s substantive manager to be addressed as appropriate. </w:t>
      </w:r>
    </w:p>
    <w:p w:rsidR="008A50A0" w:rsidRPr="003D1AD4" w:rsidRDefault="008A50A0" w:rsidP="008A50A0">
      <w:pPr>
        <w:pStyle w:val="Heading4"/>
        <w:rPr>
          <w:b/>
          <w:bCs/>
        </w:rPr>
      </w:pPr>
      <w:r w:rsidRPr="003D1AD4">
        <w:rPr>
          <w:b/>
          <w:bCs/>
        </w:rPr>
        <w:t xml:space="preserve">Confidentiality and </w:t>
      </w:r>
      <w:r w:rsidR="002D5EDC">
        <w:rPr>
          <w:b/>
          <w:bCs/>
        </w:rPr>
        <w:t>Da</w:t>
      </w:r>
      <w:r w:rsidRPr="003D1AD4">
        <w:rPr>
          <w:b/>
          <w:bCs/>
        </w:rPr>
        <w:t xml:space="preserve">ta </w:t>
      </w:r>
      <w:r w:rsidR="002D5EDC">
        <w:rPr>
          <w:b/>
          <w:bCs/>
        </w:rPr>
        <w:t>P</w:t>
      </w:r>
      <w:r w:rsidRPr="003D1AD4">
        <w:rPr>
          <w:b/>
          <w:bCs/>
        </w:rPr>
        <w:t xml:space="preserve">rotection </w:t>
      </w:r>
    </w:p>
    <w:p w:rsidR="008A50A0" w:rsidRDefault="008A50A0" w:rsidP="008A50A0">
      <w:pPr>
        <w:pStyle w:val="Default"/>
        <w:numPr>
          <w:ilvl w:val="0"/>
          <w:numId w:val="4"/>
        </w:numPr>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All employees and workers must strictly adhere to the data protection, privacy notices and confidentiality arrangements of their substantive </w:t>
      </w:r>
      <w:r w:rsidR="002D5EDC">
        <w:rPr>
          <w:rFonts w:asciiTheme="minorHAnsi" w:hAnsiTheme="minorHAnsi" w:cstheme="minorHAnsi"/>
          <w:color w:val="auto"/>
          <w:sz w:val="22"/>
          <w:szCs w:val="22"/>
        </w:rPr>
        <w:t xml:space="preserve">and provider </w:t>
      </w:r>
      <w:r w:rsidRPr="008A50A0">
        <w:rPr>
          <w:rFonts w:asciiTheme="minorHAnsi" w:hAnsiTheme="minorHAnsi" w:cstheme="minorHAnsi"/>
          <w:color w:val="auto"/>
          <w:sz w:val="22"/>
          <w:szCs w:val="22"/>
        </w:rPr>
        <w:t>organisation</w:t>
      </w:r>
      <w:r w:rsidR="002D5EDC">
        <w:rPr>
          <w:rFonts w:asciiTheme="minorHAnsi" w:hAnsiTheme="minorHAnsi" w:cstheme="minorHAnsi"/>
          <w:color w:val="auto"/>
          <w:sz w:val="22"/>
          <w:szCs w:val="22"/>
        </w:rPr>
        <w:t>s</w:t>
      </w:r>
      <w:r w:rsidRPr="008A50A0">
        <w:rPr>
          <w:rFonts w:asciiTheme="minorHAnsi" w:hAnsiTheme="minorHAnsi" w:cstheme="minorHAnsi"/>
          <w:color w:val="auto"/>
          <w:sz w:val="22"/>
          <w:szCs w:val="22"/>
        </w:rPr>
        <w:t>.</w:t>
      </w:r>
    </w:p>
    <w:p w:rsidR="00E11E3F" w:rsidRPr="003D1AD4" w:rsidRDefault="001B5B33" w:rsidP="00E11E3F">
      <w:pPr>
        <w:pStyle w:val="Heading4"/>
        <w:rPr>
          <w:b/>
          <w:bCs/>
        </w:rPr>
      </w:pPr>
      <w:r w:rsidRPr="003D1AD4">
        <w:rPr>
          <w:b/>
          <w:bCs/>
        </w:rPr>
        <w:t xml:space="preserve">Wellbeing, </w:t>
      </w:r>
      <w:r w:rsidR="00E11E3F" w:rsidRPr="003D1AD4">
        <w:rPr>
          <w:b/>
          <w:bCs/>
        </w:rPr>
        <w:t xml:space="preserve">Health and Safety </w:t>
      </w:r>
    </w:p>
    <w:p w:rsidR="00E11E3F" w:rsidRDefault="00E11E3F" w:rsidP="00E11E3F">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receiving organisation will be responsible for the safety and welfare of the employee during the period of deployment, including for the provision and safe deployment of additional Personal Protective Equipment (PPE) </w:t>
      </w:r>
      <w:r w:rsidR="001B5B33">
        <w:rPr>
          <w:rFonts w:asciiTheme="minorHAnsi" w:hAnsiTheme="minorHAnsi" w:cstheme="minorHAnsi"/>
          <w:color w:val="auto"/>
          <w:sz w:val="22"/>
          <w:szCs w:val="22"/>
        </w:rPr>
        <w:t xml:space="preserve">and </w:t>
      </w:r>
      <w:r>
        <w:rPr>
          <w:rFonts w:asciiTheme="minorHAnsi" w:hAnsiTheme="minorHAnsi" w:cstheme="minorHAnsi"/>
          <w:color w:val="auto"/>
          <w:sz w:val="22"/>
          <w:szCs w:val="22"/>
        </w:rPr>
        <w:t>its application related to protection against COVID-19.</w:t>
      </w:r>
    </w:p>
    <w:p w:rsidR="00E11E3F" w:rsidRDefault="00E11E3F" w:rsidP="00E11E3F">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receiving supervisor will be expected to brief the employee in all aspects of health and safety at the start of each deployment. </w:t>
      </w:r>
    </w:p>
    <w:p w:rsidR="001B5B33" w:rsidRPr="008A50A0" w:rsidRDefault="001B5B33" w:rsidP="00E11E3F">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The general welfare of the employee will be the shared responsibility of both the receiving and the deploying organisation</w:t>
      </w:r>
      <w:r w:rsidR="00515956">
        <w:rPr>
          <w:rFonts w:asciiTheme="minorHAnsi" w:hAnsiTheme="minorHAnsi" w:cstheme="minorHAnsi"/>
          <w:color w:val="auto"/>
          <w:sz w:val="22"/>
          <w:szCs w:val="22"/>
        </w:rPr>
        <w:t>s</w:t>
      </w:r>
      <w:r>
        <w:rPr>
          <w:rFonts w:asciiTheme="minorHAnsi" w:hAnsiTheme="minorHAnsi" w:cstheme="minorHAnsi"/>
          <w:color w:val="auto"/>
          <w:sz w:val="22"/>
          <w:szCs w:val="22"/>
        </w:rPr>
        <w:t xml:space="preserve"> who will work in partnership to safeguard the health and wellbeing of the employee. </w:t>
      </w:r>
    </w:p>
    <w:p w:rsidR="008A50A0" w:rsidRPr="003D1AD4" w:rsidRDefault="008A50A0" w:rsidP="008A50A0">
      <w:pPr>
        <w:pStyle w:val="Heading4"/>
        <w:rPr>
          <w:b/>
          <w:bCs/>
        </w:rPr>
      </w:pPr>
      <w:r w:rsidRPr="003D1AD4">
        <w:rPr>
          <w:b/>
          <w:bCs/>
        </w:rPr>
        <w:t xml:space="preserve">Conduct </w:t>
      </w:r>
    </w:p>
    <w:p w:rsidR="008A50A0" w:rsidRDefault="008A50A0" w:rsidP="008A50A0">
      <w:pPr>
        <w:pStyle w:val="Default"/>
        <w:numPr>
          <w:ilvl w:val="0"/>
          <w:numId w:val="4"/>
        </w:numPr>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All employees are expected to continue to conduct themselves in the same manner as if they were undertaking work for their employer. </w:t>
      </w:r>
    </w:p>
    <w:p w:rsidR="001B5B33" w:rsidRPr="008A50A0" w:rsidRDefault="008A50A0" w:rsidP="008A50A0">
      <w:pPr>
        <w:pStyle w:val="Default"/>
        <w:numPr>
          <w:ilvl w:val="0"/>
          <w:numId w:val="4"/>
        </w:numPr>
        <w:rPr>
          <w:rFonts w:asciiTheme="minorHAnsi" w:hAnsiTheme="minorHAnsi" w:cstheme="minorHAnsi"/>
          <w:color w:val="auto"/>
          <w:sz w:val="22"/>
          <w:szCs w:val="22"/>
        </w:rPr>
      </w:pPr>
      <w:r w:rsidRPr="008A50A0">
        <w:rPr>
          <w:rFonts w:asciiTheme="minorHAnsi" w:hAnsiTheme="minorHAnsi" w:cstheme="minorHAnsi"/>
          <w:color w:val="auto"/>
          <w:sz w:val="22"/>
          <w:szCs w:val="22"/>
        </w:rPr>
        <w:t xml:space="preserve">Any concerns about the conduct of any worker should be shared by the supervisor with the employee’s substantive manager to be addressed as appropriate. </w:t>
      </w:r>
    </w:p>
    <w:p w:rsidR="008A50A0" w:rsidRPr="00217525" w:rsidRDefault="001B5B33" w:rsidP="003D1AD4">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Any concerns or grievances will be dealt with between the respective supervisors as directed by the main point of contact for each organisation in the spirit of constructive problem solving.</w:t>
      </w:r>
    </w:p>
    <w:p w:rsidR="00217525" w:rsidRPr="003D1AD4" w:rsidRDefault="00EE2C17" w:rsidP="00217525">
      <w:pPr>
        <w:pStyle w:val="Heading4"/>
        <w:rPr>
          <w:b/>
          <w:bCs/>
        </w:rPr>
      </w:pPr>
      <w:r>
        <w:rPr>
          <w:b/>
          <w:bCs/>
        </w:rPr>
        <w:t xml:space="preserve">No </w:t>
      </w:r>
      <w:r w:rsidR="002D5EDC">
        <w:rPr>
          <w:b/>
          <w:bCs/>
        </w:rPr>
        <w:t xml:space="preserve">Recruitment of Deploying </w:t>
      </w:r>
      <w:r>
        <w:rPr>
          <w:b/>
          <w:bCs/>
        </w:rPr>
        <w:t>Organisation’s Staff</w:t>
      </w:r>
    </w:p>
    <w:p w:rsidR="00EE2C17" w:rsidRDefault="00217525" w:rsidP="00EE2C17">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Provider</w:t>
      </w:r>
      <w:r w:rsidR="001B5B33">
        <w:rPr>
          <w:rFonts w:asciiTheme="minorHAnsi" w:hAnsiTheme="minorHAnsi" w:cstheme="minorHAnsi"/>
          <w:color w:val="auto"/>
          <w:sz w:val="22"/>
          <w:szCs w:val="22"/>
        </w:rPr>
        <w:t xml:space="preserve"> organisations agree that they will not compete</w:t>
      </w:r>
      <w:r w:rsidRPr="003D1AD4">
        <w:rPr>
          <w:rFonts w:asciiTheme="minorHAnsi" w:hAnsiTheme="minorHAnsi" w:cstheme="minorHAnsi"/>
          <w:color w:val="auto"/>
          <w:sz w:val="22"/>
          <w:szCs w:val="22"/>
        </w:rPr>
        <w:t xml:space="preserve"> for each other's employees,</w:t>
      </w:r>
      <w:r w:rsidR="001B5B33">
        <w:rPr>
          <w:rFonts w:asciiTheme="minorHAnsi" w:hAnsiTheme="minorHAnsi" w:cstheme="minorHAnsi"/>
          <w:color w:val="auto"/>
          <w:sz w:val="22"/>
          <w:szCs w:val="22"/>
        </w:rPr>
        <w:t xml:space="preserve"> meaning they will </w:t>
      </w:r>
      <w:r w:rsidR="00515956">
        <w:rPr>
          <w:rFonts w:asciiTheme="minorHAnsi" w:hAnsiTheme="minorHAnsi" w:cstheme="minorHAnsi"/>
          <w:color w:val="auto"/>
          <w:sz w:val="22"/>
          <w:szCs w:val="22"/>
        </w:rPr>
        <w:t xml:space="preserve">not </w:t>
      </w:r>
      <w:r w:rsidR="00EE2C17">
        <w:rPr>
          <w:rFonts w:asciiTheme="minorHAnsi" w:hAnsiTheme="minorHAnsi" w:cstheme="minorHAnsi"/>
          <w:color w:val="auto"/>
          <w:sz w:val="22"/>
          <w:szCs w:val="22"/>
        </w:rPr>
        <w:t xml:space="preserve">attempt to recruit them </w:t>
      </w:r>
      <w:r w:rsidRPr="003D1AD4">
        <w:rPr>
          <w:rFonts w:asciiTheme="minorHAnsi" w:hAnsiTheme="minorHAnsi" w:cstheme="minorHAnsi"/>
          <w:color w:val="auto"/>
          <w:sz w:val="22"/>
          <w:szCs w:val="22"/>
        </w:rPr>
        <w:t xml:space="preserve">during their </w:t>
      </w:r>
      <w:r w:rsidR="001B5B33">
        <w:rPr>
          <w:rFonts w:asciiTheme="minorHAnsi" w:hAnsiTheme="minorHAnsi" w:cstheme="minorHAnsi"/>
          <w:color w:val="auto"/>
          <w:sz w:val="22"/>
          <w:szCs w:val="22"/>
        </w:rPr>
        <w:t>d</w:t>
      </w:r>
      <w:r w:rsidRPr="003D1AD4">
        <w:rPr>
          <w:rFonts w:asciiTheme="minorHAnsi" w:hAnsiTheme="minorHAnsi" w:cstheme="minorHAnsi"/>
          <w:color w:val="auto"/>
          <w:sz w:val="22"/>
          <w:szCs w:val="22"/>
        </w:rPr>
        <w:t>eployment</w:t>
      </w:r>
      <w:r w:rsidR="00EE2C17">
        <w:rPr>
          <w:rFonts w:asciiTheme="minorHAnsi" w:hAnsiTheme="minorHAnsi" w:cstheme="minorHAnsi"/>
          <w:color w:val="auto"/>
          <w:sz w:val="22"/>
          <w:szCs w:val="22"/>
        </w:rPr>
        <w:t>,</w:t>
      </w:r>
      <w:r w:rsidRPr="003D1AD4">
        <w:rPr>
          <w:rFonts w:asciiTheme="minorHAnsi" w:hAnsiTheme="minorHAnsi" w:cstheme="minorHAnsi"/>
          <w:color w:val="auto"/>
          <w:sz w:val="22"/>
          <w:szCs w:val="22"/>
        </w:rPr>
        <w:t xml:space="preserve"> </w:t>
      </w:r>
      <w:r w:rsidR="001B5B33">
        <w:rPr>
          <w:rFonts w:asciiTheme="minorHAnsi" w:hAnsiTheme="minorHAnsi" w:cstheme="minorHAnsi"/>
          <w:color w:val="auto"/>
          <w:sz w:val="22"/>
          <w:szCs w:val="22"/>
        </w:rPr>
        <w:t>nor seek to hire</w:t>
      </w:r>
      <w:r w:rsidRPr="003D1AD4">
        <w:rPr>
          <w:rFonts w:asciiTheme="minorHAnsi" w:hAnsiTheme="minorHAnsi" w:cstheme="minorHAnsi"/>
          <w:color w:val="auto"/>
          <w:sz w:val="22"/>
          <w:szCs w:val="22"/>
        </w:rPr>
        <w:t xml:space="preserve"> them for a period of </w:t>
      </w:r>
      <w:r w:rsidR="001B5B33">
        <w:rPr>
          <w:rFonts w:asciiTheme="minorHAnsi" w:hAnsiTheme="minorHAnsi" w:cstheme="minorHAnsi"/>
          <w:color w:val="auto"/>
          <w:sz w:val="22"/>
          <w:szCs w:val="22"/>
        </w:rPr>
        <w:t>six month</w:t>
      </w:r>
      <w:r w:rsidR="00515956">
        <w:rPr>
          <w:rFonts w:asciiTheme="minorHAnsi" w:hAnsiTheme="minorHAnsi" w:cstheme="minorHAnsi"/>
          <w:color w:val="auto"/>
          <w:sz w:val="22"/>
          <w:szCs w:val="22"/>
        </w:rPr>
        <w:t>s</w:t>
      </w:r>
      <w:r w:rsidRPr="003D1AD4">
        <w:rPr>
          <w:rFonts w:asciiTheme="minorHAnsi" w:hAnsiTheme="minorHAnsi" w:cstheme="minorHAnsi"/>
          <w:color w:val="auto"/>
          <w:sz w:val="22"/>
          <w:szCs w:val="22"/>
        </w:rPr>
        <w:t xml:space="preserve"> </w:t>
      </w:r>
      <w:r w:rsidR="001B5B33">
        <w:rPr>
          <w:rFonts w:asciiTheme="minorHAnsi" w:hAnsiTheme="minorHAnsi" w:cstheme="minorHAnsi"/>
          <w:color w:val="auto"/>
          <w:sz w:val="22"/>
          <w:szCs w:val="22"/>
        </w:rPr>
        <w:t>following the deployment.</w:t>
      </w:r>
    </w:p>
    <w:p w:rsidR="00EE2C17" w:rsidRDefault="00EE2C17" w:rsidP="00EE2C17">
      <w:pPr>
        <w:pStyle w:val="Default"/>
        <w:rPr>
          <w:rFonts w:asciiTheme="minorHAnsi" w:hAnsiTheme="minorHAnsi" w:cstheme="minorHAnsi"/>
          <w:color w:val="auto"/>
          <w:sz w:val="22"/>
          <w:szCs w:val="22"/>
        </w:rPr>
      </w:pPr>
    </w:p>
    <w:p w:rsidR="00EE2C17" w:rsidRDefault="00EE2C17" w:rsidP="00EE2C17">
      <w:pPr>
        <w:pStyle w:val="Default"/>
        <w:rPr>
          <w:rFonts w:asciiTheme="minorHAnsi" w:hAnsiTheme="minorHAnsi" w:cstheme="minorHAnsi"/>
          <w:color w:val="auto"/>
          <w:sz w:val="22"/>
          <w:szCs w:val="22"/>
        </w:rPr>
      </w:pPr>
    </w:p>
    <w:p w:rsidR="006C37AE" w:rsidRPr="008A50A0" w:rsidRDefault="006C37AE" w:rsidP="008A50A0">
      <w:pPr>
        <w:rPr>
          <w:rFonts w:cstheme="minorHAnsi"/>
        </w:rPr>
      </w:pPr>
    </w:p>
    <w:sectPr w:rsidR="006C37AE" w:rsidRPr="008A50A0" w:rsidSect="004320E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89" w:rsidRDefault="00914A89" w:rsidP="00BE47BB">
      <w:r>
        <w:separator/>
      </w:r>
    </w:p>
  </w:endnote>
  <w:endnote w:type="continuationSeparator" w:id="0">
    <w:p w:rsidR="00914A89" w:rsidRDefault="00914A89" w:rsidP="00BE4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5188627"/>
      <w:docPartObj>
        <w:docPartGallery w:val="Page Numbers (Bottom of Page)"/>
        <w:docPartUnique/>
      </w:docPartObj>
    </w:sdtPr>
    <w:sdtContent>
      <w:p w:rsidR="00BE47BB" w:rsidRDefault="004320E8" w:rsidP="00861645">
        <w:pPr>
          <w:pStyle w:val="Footer"/>
          <w:framePr w:wrap="none" w:vAnchor="text" w:hAnchor="margin" w:xAlign="right" w:y="1"/>
          <w:rPr>
            <w:rStyle w:val="PageNumber"/>
          </w:rPr>
        </w:pPr>
        <w:r>
          <w:rPr>
            <w:rStyle w:val="PageNumber"/>
          </w:rPr>
          <w:fldChar w:fldCharType="begin"/>
        </w:r>
        <w:r w:rsidR="00BE47BB">
          <w:rPr>
            <w:rStyle w:val="PageNumber"/>
          </w:rPr>
          <w:instrText xml:space="preserve"> PAGE </w:instrText>
        </w:r>
        <w:r>
          <w:rPr>
            <w:rStyle w:val="PageNumber"/>
          </w:rPr>
          <w:fldChar w:fldCharType="end"/>
        </w:r>
      </w:p>
    </w:sdtContent>
  </w:sdt>
  <w:p w:rsidR="00BE47BB" w:rsidRDefault="00BE47BB" w:rsidP="003D1A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31055096"/>
      <w:docPartObj>
        <w:docPartGallery w:val="Page Numbers (Bottom of Page)"/>
        <w:docPartUnique/>
      </w:docPartObj>
    </w:sdtPr>
    <w:sdtContent>
      <w:p w:rsidR="00BE47BB" w:rsidRDefault="004320E8" w:rsidP="00861645">
        <w:pPr>
          <w:pStyle w:val="Footer"/>
          <w:framePr w:wrap="none" w:vAnchor="text" w:hAnchor="margin" w:xAlign="right" w:y="1"/>
          <w:rPr>
            <w:rStyle w:val="PageNumber"/>
          </w:rPr>
        </w:pPr>
        <w:r>
          <w:rPr>
            <w:rStyle w:val="PageNumber"/>
          </w:rPr>
          <w:fldChar w:fldCharType="begin"/>
        </w:r>
        <w:r w:rsidR="00BE47BB">
          <w:rPr>
            <w:rStyle w:val="PageNumber"/>
          </w:rPr>
          <w:instrText xml:space="preserve"> PAGE </w:instrText>
        </w:r>
        <w:r>
          <w:rPr>
            <w:rStyle w:val="PageNumber"/>
          </w:rPr>
          <w:fldChar w:fldCharType="separate"/>
        </w:r>
        <w:r w:rsidR="007D533D">
          <w:rPr>
            <w:rStyle w:val="PageNumber"/>
            <w:noProof/>
          </w:rPr>
          <w:t>2</w:t>
        </w:r>
        <w:r>
          <w:rPr>
            <w:rStyle w:val="PageNumber"/>
          </w:rPr>
          <w:fldChar w:fldCharType="end"/>
        </w:r>
      </w:p>
    </w:sdtContent>
  </w:sdt>
  <w:p w:rsidR="00BE47BB" w:rsidRDefault="00BE47BB" w:rsidP="003D1AD4">
    <w:pPr>
      <w:pStyle w:val="Heading2"/>
      <w:ind w:right="360"/>
    </w:pPr>
    <w:r w:rsidRPr="0035368B">
      <w:rPr>
        <w:sz w:val="24"/>
        <w:szCs w:val="24"/>
      </w:rPr>
      <w:t>Sharing staff in response to the COVID-19 pandemic</w:t>
    </w:r>
    <w:r>
      <w:rPr>
        <w:sz w:val="24"/>
        <w:szCs w:val="24"/>
      </w:rPr>
      <w:t xml:space="preserve"> - </w:t>
    </w:r>
    <w:r w:rsidR="00F16FD4">
      <w:rPr>
        <w:sz w:val="24"/>
        <w:szCs w:val="24"/>
      </w:rPr>
      <w:t>31</w:t>
    </w:r>
    <w:bookmarkStart w:id="0" w:name="_GoBack"/>
    <w:bookmarkEnd w:id="0"/>
    <w:r w:rsidRPr="0035368B">
      <w:rPr>
        <w:sz w:val="24"/>
        <w:szCs w:val="24"/>
      </w:rPr>
      <w:t xml:space="preserve"> March 2020, </w:t>
    </w:r>
    <w:r w:rsidR="00F16FD4">
      <w:rPr>
        <w:sz w:val="24"/>
        <w:szCs w:val="24"/>
      </w:rPr>
      <w:t xml:space="preserve">Final Version </w:t>
    </w:r>
    <w:r w:rsidRPr="0035368B">
      <w:rPr>
        <w:sz w:val="24"/>
        <w:szCs w:val="24"/>
      </w:rPr>
      <w:t>v0.</w:t>
    </w:r>
    <w:r w:rsidR="00F16FD4">
      <w:rPr>
        <w:sz w:val="24"/>
        <w:szCs w:val="24"/>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5" w:rsidRDefault="00536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89" w:rsidRDefault="00914A89" w:rsidP="00BE47BB">
      <w:r>
        <w:separator/>
      </w:r>
    </w:p>
  </w:footnote>
  <w:footnote w:type="continuationSeparator" w:id="0">
    <w:p w:rsidR="00914A89" w:rsidRDefault="00914A89" w:rsidP="00BE4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5" w:rsidRDefault="00536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5" w:rsidRDefault="005369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5" w:rsidRDefault="00536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299"/>
    <w:multiLevelType w:val="hybridMultilevel"/>
    <w:tmpl w:val="09706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01141"/>
    <w:multiLevelType w:val="hybridMultilevel"/>
    <w:tmpl w:val="3D4CF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674C8"/>
    <w:multiLevelType w:val="hybridMultilevel"/>
    <w:tmpl w:val="C6B83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895F30"/>
    <w:multiLevelType w:val="hybridMultilevel"/>
    <w:tmpl w:val="0CFA5938"/>
    <w:lvl w:ilvl="0" w:tplc="1952A51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E50672"/>
    <w:multiLevelType w:val="hybridMultilevel"/>
    <w:tmpl w:val="EC7E4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975D5"/>
    <w:multiLevelType w:val="hybridMultilevel"/>
    <w:tmpl w:val="92D68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537879"/>
    <w:multiLevelType w:val="hybridMultilevel"/>
    <w:tmpl w:val="04348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C9191F"/>
    <w:multiLevelType w:val="hybridMultilevel"/>
    <w:tmpl w:val="E4BEC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defaultTabStop w:val="720"/>
  <w:characterSpacingControl w:val="doNotCompress"/>
  <w:footnotePr>
    <w:footnote w:id="-1"/>
    <w:footnote w:id="0"/>
  </w:footnotePr>
  <w:endnotePr>
    <w:endnote w:id="-1"/>
    <w:endnote w:id="0"/>
  </w:endnotePr>
  <w:compat/>
  <w:rsids>
    <w:rsidRoot w:val="008A50A0"/>
    <w:rsid w:val="00143595"/>
    <w:rsid w:val="001B5B33"/>
    <w:rsid w:val="00217525"/>
    <w:rsid w:val="002D5EDC"/>
    <w:rsid w:val="00357EF6"/>
    <w:rsid w:val="003B605E"/>
    <w:rsid w:val="003D1AD4"/>
    <w:rsid w:val="004320E8"/>
    <w:rsid w:val="00515956"/>
    <w:rsid w:val="005369D5"/>
    <w:rsid w:val="005811B1"/>
    <w:rsid w:val="005B141B"/>
    <w:rsid w:val="005F30A0"/>
    <w:rsid w:val="006C37AE"/>
    <w:rsid w:val="007D533D"/>
    <w:rsid w:val="00863A3D"/>
    <w:rsid w:val="008A50A0"/>
    <w:rsid w:val="008C123A"/>
    <w:rsid w:val="00914A89"/>
    <w:rsid w:val="009C476D"/>
    <w:rsid w:val="009D5CFD"/>
    <w:rsid w:val="00B16EE5"/>
    <w:rsid w:val="00BE47BB"/>
    <w:rsid w:val="00BF5B14"/>
    <w:rsid w:val="00C7733A"/>
    <w:rsid w:val="00D0199B"/>
    <w:rsid w:val="00D13093"/>
    <w:rsid w:val="00E11E3F"/>
    <w:rsid w:val="00EE2C17"/>
    <w:rsid w:val="00F16F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2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8A50A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8A50A0"/>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8A50A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0A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A50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50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50A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E47B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E47BB"/>
  </w:style>
  <w:style w:type="paragraph" w:styleId="Footer">
    <w:name w:val="footer"/>
    <w:basedOn w:val="Normal"/>
    <w:link w:val="FooterChar"/>
    <w:uiPriority w:val="99"/>
    <w:unhideWhenUsed/>
    <w:rsid w:val="00BE47B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E47BB"/>
  </w:style>
  <w:style w:type="character" w:styleId="PageNumber">
    <w:name w:val="page number"/>
    <w:basedOn w:val="DefaultParagraphFont"/>
    <w:uiPriority w:val="99"/>
    <w:semiHidden/>
    <w:unhideWhenUsed/>
    <w:rsid w:val="00BE47BB"/>
  </w:style>
  <w:style w:type="character" w:styleId="CommentReference">
    <w:name w:val="annotation reference"/>
    <w:basedOn w:val="DefaultParagraphFont"/>
    <w:uiPriority w:val="99"/>
    <w:semiHidden/>
    <w:unhideWhenUsed/>
    <w:rsid w:val="00E11E3F"/>
    <w:rPr>
      <w:sz w:val="16"/>
      <w:szCs w:val="16"/>
    </w:rPr>
  </w:style>
  <w:style w:type="paragraph" w:styleId="CommentText">
    <w:name w:val="annotation text"/>
    <w:basedOn w:val="Normal"/>
    <w:link w:val="CommentTextChar"/>
    <w:uiPriority w:val="99"/>
    <w:semiHidden/>
    <w:unhideWhenUsed/>
    <w:rsid w:val="00E11E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11E3F"/>
    <w:rPr>
      <w:sz w:val="20"/>
      <w:szCs w:val="20"/>
    </w:rPr>
  </w:style>
  <w:style w:type="paragraph" w:styleId="CommentSubject">
    <w:name w:val="annotation subject"/>
    <w:basedOn w:val="CommentText"/>
    <w:next w:val="CommentText"/>
    <w:link w:val="CommentSubjectChar"/>
    <w:uiPriority w:val="99"/>
    <w:semiHidden/>
    <w:unhideWhenUsed/>
    <w:rsid w:val="00E11E3F"/>
    <w:rPr>
      <w:b/>
      <w:bCs/>
    </w:rPr>
  </w:style>
  <w:style w:type="character" w:customStyle="1" w:styleId="CommentSubjectChar">
    <w:name w:val="Comment Subject Char"/>
    <w:basedOn w:val="CommentTextChar"/>
    <w:link w:val="CommentSubject"/>
    <w:uiPriority w:val="99"/>
    <w:semiHidden/>
    <w:rsid w:val="00E11E3F"/>
    <w:rPr>
      <w:b/>
      <w:bCs/>
      <w:sz w:val="20"/>
      <w:szCs w:val="20"/>
    </w:rPr>
  </w:style>
  <w:style w:type="paragraph" w:styleId="Revision">
    <w:name w:val="Revision"/>
    <w:hidden/>
    <w:uiPriority w:val="99"/>
    <w:semiHidden/>
    <w:rsid w:val="00E11E3F"/>
    <w:pPr>
      <w:spacing w:after="0" w:line="240" w:lineRule="auto"/>
    </w:pPr>
  </w:style>
  <w:style w:type="paragraph" w:styleId="BalloonText">
    <w:name w:val="Balloon Text"/>
    <w:basedOn w:val="Normal"/>
    <w:link w:val="BalloonTextChar"/>
    <w:uiPriority w:val="99"/>
    <w:semiHidden/>
    <w:unhideWhenUsed/>
    <w:rsid w:val="00E11E3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11E3F"/>
    <w:rPr>
      <w:rFonts w:ascii="Times New Roman" w:hAnsi="Times New Roman" w:cs="Times New Roman"/>
      <w:sz w:val="18"/>
      <w:szCs w:val="18"/>
    </w:rPr>
  </w:style>
  <w:style w:type="paragraph" w:styleId="ListParagraph">
    <w:name w:val="List Paragraph"/>
    <w:basedOn w:val="Normal"/>
    <w:uiPriority w:val="34"/>
    <w:qFormat/>
    <w:rsid w:val="0021752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61458197">
      <w:bodyDiv w:val="1"/>
      <w:marLeft w:val="0"/>
      <w:marRight w:val="0"/>
      <w:marTop w:val="0"/>
      <w:marBottom w:val="0"/>
      <w:divBdr>
        <w:top w:val="none" w:sz="0" w:space="0" w:color="auto"/>
        <w:left w:val="none" w:sz="0" w:space="0" w:color="auto"/>
        <w:bottom w:val="none" w:sz="0" w:space="0" w:color="auto"/>
        <w:right w:val="none" w:sz="0" w:space="0" w:color="auto"/>
      </w:divBdr>
    </w:div>
    <w:div w:id="857541115">
      <w:bodyDiv w:val="1"/>
      <w:marLeft w:val="0"/>
      <w:marRight w:val="0"/>
      <w:marTop w:val="0"/>
      <w:marBottom w:val="0"/>
      <w:divBdr>
        <w:top w:val="none" w:sz="0" w:space="0" w:color="auto"/>
        <w:left w:val="none" w:sz="0" w:space="0" w:color="auto"/>
        <w:bottom w:val="none" w:sz="0" w:space="0" w:color="auto"/>
        <w:right w:val="none" w:sz="0" w:space="0" w:color="auto"/>
      </w:divBdr>
    </w:div>
    <w:div w:id="13252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Dwight</dc:creator>
  <cp:lastModifiedBy>Hp 8200</cp:lastModifiedBy>
  <cp:revision>2</cp:revision>
  <dcterms:created xsi:type="dcterms:W3CDTF">2020-04-02T11:07:00Z</dcterms:created>
  <dcterms:modified xsi:type="dcterms:W3CDTF">2020-04-02T11:07:00Z</dcterms:modified>
</cp:coreProperties>
</file>