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E51B" w14:textId="124F7866" w:rsidR="00D3446F" w:rsidRPr="00490230" w:rsidRDefault="00D3446F" w:rsidP="00D3446F">
      <w:pPr>
        <w:rPr>
          <w:b/>
          <w:bCs/>
          <w:sz w:val="28"/>
          <w:szCs w:val="28"/>
        </w:rPr>
      </w:pPr>
      <w:r w:rsidRPr="00490230">
        <w:rPr>
          <w:b/>
          <w:bCs/>
          <w:noProof/>
          <w:sz w:val="28"/>
          <w:szCs w:val="28"/>
        </w:rPr>
        <w:drawing>
          <wp:inline distT="0" distB="0" distL="0" distR="0" wp14:anchorId="0DCA98CE" wp14:editId="3054CFB5">
            <wp:extent cx="2529840" cy="1165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1165860"/>
                    </a:xfrm>
                    <a:prstGeom prst="rect">
                      <a:avLst/>
                    </a:prstGeom>
                    <a:noFill/>
                    <a:ln>
                      <a:noFill/>
                    </a:ln>
                  </pic:spPr>
                </pic:pic>
              </a:graphicData>
            </a:graphic>
          </wp:inline>
        </w:drawing>
      </w:r>
      <w:bookmarkStart w:id="0" w:name="_GoBack"/>
      <w:bookmarkEnd w:id="0"/>
    </w:p>
    <w:p w14:paraId="0D258C9D" w14:textId="74901B4E" w:rsidR="00D3446F" w:rsidRPr="00490230" w:rsidRDefault="00D3446F" w:rsidP="00D3446F">
      <w:pPr>
        <w:rPr>
          <w:b/>
          <w:bCs/>
          <w:sz w:val="28"/>
          <w:szCs w:val="28"/>
        </w:rPr>
      </w:pPr>
    </w:p>
    <w:p w14:paraId="41E4B50D" w14:textId="0177DE39" w:rsidR="00490230" w:rsidRPr="00490230" w:rsidRDefault="00490230" w:rsidP="00D3446F">
      <w:pPr>
        <w:rPr>
          <w:sz w:val="24"/>
          <w:szCs w:val="24"/>
        </w:rPr>
      </w:pPr>
      <w:r w:rsidRPr="00490230">
        <w:rPr>
          <w:b/>
          <w:bCs/>
          <w:sz w:val="24"/>
          <w:szCs w:val="24"/>
        </w:rPr>
        <w:t>Reference risk assessment when urgently recruiting during Covid 19</w:t>
      </w:r>
    </w:p>
    <w:p w14:paraId="44C0EAAE" w14:textId="77777777" w:rsidR="00490230" w:rsidRDefault="00490230" w:rsidP="00D3446F"/>
    <w:p w14:paraId="14714155" w14:textId="7E029952" w:rsidR="00D3446F" w:rsidRDefault="00D3446F" w:rsidP="00D3446F">
      <w:r w:rsidRPr="00F80766">
        <w:t>This Risk Assessment should be completed when considering whether to allow a new member of staff to commence employment before two Satisfactory References have been witnessed.</w:t>
      </w:r>
    </w:p>
    <w:p w14:paraId="6636E752" w14:textId="77777777" w:rsidR="00D3446F" w:rsidRDefault="00D3446F" w:rsidP="00D3446F"/>
    <w:p w14:paraId="519AA299" w14:textId="77777777" w:rsidR="00D3446F" w:rsidRDefault="00D3446F" w:rsidP="00D3446F"/>
    <w:p w14:paraId="1BE04BD3" w14:textId="635511D9" w:rsidR="00D3446F" w:rsidRPr="00E5245E" w:rsidRDefault="00D3446F" w:rsidP="00D3446F">
      <w:r w:rsidRPr="00E5245E">
        <w:t>Risk Assessment Checklist</w:t>
      </w:r>
    </w:p>
    <w:p w14:paraId="06C9903C" w14:textId="77777777" w:rsidR="00D3446F" w:rsidRPr="0059685B" w:rsidRDefault="00D3446F" w:rsidP="00D3446F">
      <w:pPr>
        <w:pStyle w:val="Heading1"/>
        <w:ind w:left="0"/>
        <w:jc w:val="both"/>
        <w:rPr>
          <w:b w:val="0"/>
          <w:i/>
          <w:sz w:val="18"/>
          <w:szCs w:val="18"/>
        </w:rPr>
      </w:pPr>
      <w:r w:rsidRPr="0059685B">
        <w:rPr>
          <w:b w:val="0"/>
          <w:i/>
          <w:sz w:val="18"/>
          <w:szCs w:val="18"/>
        </w:rPr>
        <w:t>Starting work prior to</w:t>
      </w:r>
      <w:r>
        <w:rPr>
          <w:b w:val="0"/>
          <w:i/>
          <w:sz w:val="18"/>
          <w:szCs w:val="18"/>
        </w:rPr>
        <w:t xml:space="preserve"> receipt of </w:t>
      </w:r>
      <w:r w:rsidRPr="00B92F71">
        <w:rPr>
          <w:b w:val="0"/>
          <w:i/>
          <w:sz w:val="18"/>
          <w:szCs w:val="18"/>
          <w:u w:val="single"/>
        </w:rPr>
        <w:t>2</w:t>
      </w:r>
      <w:r>
        <w:rPr>
          <w:b w:val="0"/>
          <w:i/>
          <w:sz w:val="18"/>
          <w:szCs w:val="18"/>
        </w:rPr>
        <w:t xml:space="preserve"> verified References</w:t>
      </w:r>
    </w:p>
    <w:p w14:paraId="7DAEF235" w14:textId="77777777" w:rsidR="00D3446F" w:rsidRPr="00E5245E" w:rsidRDefault="00D3446F" w:rsidP="00D3446F">
      <w:pPr>
        <w:pStyle w:val="BodyText"/>
        <w:spacing w:before="1"/>
        <w:jc w:val="both"/>
        <w:rPr>
          <w:b/>
          <w:sz w:val="20"/>
          <w:szCs w:val="20"/>
        </w:rPr>
      </w:pPr>
    </w:p>
    <w:p w14:paraId="3B8EE619" w14:textId="4B4C3401" w:rsidR="00D3446F" w:rsidRPr="00F80766" w:rsidRDefault="00D3446F" w:rsidP="00D3446F">
      <w:pPr>
        <w:pStyle w:val="BodyText"/>
        <w:spacing w:line="278" w:lineRule="auto"/>
        <w:ind w:right="148"/>
        <w:rPr>
          <w:sz w:val="22"/>
          <w:szCs w:val="22"/>
        </w:rPr>
      </w:pPr>
      <w:r w:rsidRPr="00F80766">
        <w:rPr>
          <w:sz w:val="22"/>
          <w:szCs w:val="22"/>
        </w:rPr>
        <w:br/>
      </w:r>
    </w:p>
    <w:tbl>
      <w:tblPr>
        <w:tblStyle w:val="TableGrid"/>
        <w:tblW w:w="0" w:type="auto"/>
        <w:tblInd w:w="117" w:type="dxa"/>
        <w:tblLook w:val="04A0" w:firstRow="1" w:lastRow="0" w:firstColumn="1" w:lastColumn="0" w:noHBand="0" w:noVBand="1"/>
      </w:tblPr>
      <w:tblGrid>
        <w:gridCol w:w="2870"/>
        <w:gridCol w:w="6029"/>
      </w:tblGrid>
      <w:tr w:rsidR="00D3446F" w14:paraId="3B74D392" w14:textId="77777777" w:rsidTr="00F40FDC">
        <w:tc>
          <w:tcPr>
            <w:tcW w:w="2920" w:type="dxa"/>
          </w:tcPr>
          <w:p w14:paraId="741E16E2" w14:textId="77777777" w:rsidR="00D3446F" w:rsidRPr="00E5245E" w:rsidRDefault="00D3446F" w:rsidP="00F40FDC">
            <w:pPr>
              <w:pStyle w:val="BodyText"/>
              <w:spacing w:line="278" w:lineRule="auto"/>
              <w:ind w:right="148"/>
              <w:rPr>
                <w:b/>
                <w:sz w:val="18"/>
                <w:szCs w:val="18"/>
              </w:rPr>
            </w:pPr>
            <w:r w:rsidRPr="00E5245E">
              <w:rPr>
                <w:b/>
                <w:sz w:val="18"/>
                <w:szCs w:val="18"/>
              </w:rPr>
              <w:t>Name:</w:t>
            </w:r>
          </w:p>
        </w:tc>
        <w:tc>
          <w:tcPr>
            <w:tcW w:w="6203" w:type="dxa"/>
          </w:tcPr>
          <w:p w14:paraId="4160D915" w14:textId="77777777" w:rsidR="00D3446F" w:rsidRPr="00E5245E" w:rsidRDefault="00D3446F" w:rsidP="00F40FDC">
            <w:pPr>
              <w:pStyle w:val="BodyText"/>
              <w:spacing w:line="278" w:lineRule="auto"/>
              <w:ind w:right="148"/>
              <w:rPr>
                <w:sz w:val="18"/>
                <w:szCs w:val="18"/>
              </w:rPr>
            </w:pPr>
          </w:p>
        </w:tc>
      </w:tr>
      <w:tr w:rsidR="00D3446F" w14:paraId="5CC75F82" w14:textId="77777777" w:rsidTr="00F40FDC">
        <w:tc>
          <w:tcPr>
            <w:tcW w:w="2920" w:type="dxa"/>
          </w:tcPr>
          <w:p w14:paraId="0BE552D2" w14:textId="77777777" w:rsidR="00D3446F" w:rsidRPr="00E5245E" w:rsidRDefault="00D3446F" w:rsidP="00F40FDC">
            <w:pPr>
              <w:pStyle w:val="BodyText"/>
              <w:spacing w:line="278" w:lineRule="auto"/>
              <w:ind w:right="148"/>
              <w:rPr>
                <w:b/>
                <w:sz w:val="18"/>
                <w:szCs w:val="18"/>
              </w:rPr>
            </w:pPr>
            <w:r w:rsidRPr="00E5245E">
              <w:rPr>
                <w:b/>
                <w:sz w:val="18"/>
                <w:szCs w:val="18"/>
              </w:rPr>
              <w:t>Role:</w:t>
            </w:r>
          </w:p>
        </w:tc>
        <w:tc>
          <w:tcPr>
            <w:tcW w:w="6203" w:type="dxa"/>
          </w:tcPr>
          <w:p w14:paraId="77A70067" w14:textId="77777777" w:rsidR="00D3446F" w:rsidRPr="00E5245E" w:rsidRDefault="00D3446F" w:rsidP="00F40FDC">
            <w:pPr>
              <w:pStyle w:val="BodyText"/>
              <w:spacing w:line="278" w:lineRule="auto"/>
              <w:ind w:right="148"/>
              <w:rPr>
                <w:sz w:val="18"/>
                <w:szCs w:val="18"/>
              </w:rPr>
            </w:pPr>
          </w:p>
        </w:tc>
      </w:tr>
      <w:tr w:rsidR="00D3446F" w14:paraId="243C461D" w14:textId="77777777" w:rsidTr="00F40FDC">
        <w:tc>
          <w:tcPr>
            <w:tcW w:w="2920" w:type="dxa"/>
          </w:tcPr>
          <w:p w14:paraId="67A7F43D" w14:textId="77777777" w:rsidR="00D3446F" w:rsidRPr="00E5245E" w:rsidRDefault="00D3446F" w:rsidP="00F40FDC">
            <w:pPr>
              <w:pStyle w:val="BodyText"/>
              <w:spacing w:line="278" w:lineRule="auto"/>
              <w:ind w:right="148"/>
              <w:rPr>
                <w:b/>
                <w:sz w:val="18"/>
                <w:szCs w:val="18"/>
              </w:rPr>
            </w:pPr>
            <w:r w:rsidRPr="00E5245E">
              <w:rPr>
                <w:b/>
                <w:sz w:val="18"/>
                <w:szCs w:val="18"/>
              </w:rPr>
              <w:t>Interview date:</w:t>
            </w:r>
          </w:p>
        </w:tc>
        <w:tc>
          <w:tcPr>
            <w:tcW w:w="6203" w:type="dxa"/>
          </w:tcPr>
          <w:p w14:paraId="3151A539" w14:textId="77777777" w:rsidR="00D3446F" w:rsidRPr="00E5245E" w:rsidRDefault="00D3446F" w:rsidP="00F40FDC">
            <w:pPr>
              <w:pStyle w:val="BodyText"/>
              <w:spacing w:line="278" w:lineRule="auto"/>
              <w:ind w:right="148"/>
              <w:rPr>
                <w:sz w:val="18"/>
                <w:szCs w:val="18"/>
              </w:rPr>
            </w:pPr>
          </w:p>
        </w:tc>
      </w:tr>
      <w:tr w:rsidR="00D3446F" w14:paraId="192BBD91" w14:textId="77777777" w:rsidTr="00F40FDC">
        <w:tc>
          <w:tcPr>
            <w:tcW w:w="2920" w:type="dxa"/>
          </w:tcPr>
          <w:p w14:paraId="375A882C" w14:textId="77777777" w:rsidR="00D3446F" w:rsidRPr="00E5245E" w:rsidRDefault="00D3446F" w:rsidP="00F40FDC">
            <w:pPr>
              <w:pStyle w:val="BodyText"/>
              <w:spacing w:line="278" w:lineRule="auto"/>
              <w:ind w:right="148"/>
              <w:rPr>
                <w:b/>
                <w:sz w:val="18"/>
                <w:szCs w:val="18"/>
              </w:rPr>
            </w:pPr>
            <w:r w:rsidRPr="00E5245E">
              <w:rPr>
                <w:b/>
                <w:sz w:val="18"/>
                <w:szCs w:val="18"/>
              </w:rPr>
              <w:t>Proposed start date:</w:t>
            </w:r>
          </w:p>
        </w:tc>
        <w:tc>
          <w:tcPr>
            <w:tcW w:w="6203" w:type="dxa"/>
          </w:tcPr>
          <w:p w14:paraId="2726DE52" w14:textId="77777777" w:rsidR="00D3446F" w:rsidRPr="00E5245E" w:rsidRDefault="00D3446F" w:rsidP="00F40FDC">
            <w:pPr>
              <w:pStyle w:val="BodyText"/>
              <w:spacing w:line="278" w:lineRule="auto"/>
              <w:ind w:right="148"/>
              <w:rPr>
                <w:sz w:val="18"/>
                <w:szCs w:val="18"/>
              </w:rPr>
            </w:pPr>
          </w:p>
        </w:tc>
      </w:tr>
      <w:tr w:rsidR="00D3446F" w14:paraId="3242831A" w14:textId="77777777" w:rsidTr="00F40FDC">
        <w:tc>
          <w:tcPr>
            <w:tcW w:w="2920" w:type="dxa"/>
          </w:tcPr>
          <w:p w14:paraId="3E142BFB" w14:textId="77777777" w:rsidR="00D3446F" w:rsidRPr="00E5245E" w:rsidRDefault="00D3446F" w:rsidP="00F40FDC">
            <w:pPr>
              <w:pStyle w:val="BodyText"/>
              <w:spacing w:line="278" w:lineRule="auto"/>
              <w:ind w:right="148"/>
              <w:rPr>
                <w:sz w:val="18"/>
                <w:szCs w:val="18"/>
              </w:rPr>
            </w:pPr>
            <w:r w:rsidRPr="00E5245E">
              <w:rPr>
                <w:b/>
                <w:sz w:val="18"/>
                <w:szCs w:val="18"/>
              </w:rPr>
              <w:t xml:space="preserve">DBS Check </w:t>
            </w:r>
            <w:r>
              <w:rPr>
                <w:b/>
                <w:sz w:val="18"/>
                <w:szCs w:val="18"/>
              </w:rPr>
              <w:t>Issue date:</w:t>
            </w:r>
          </w:p>
        </w:tc>
        <w:tc>
          <w:tcPr>
            <w:tcW w:w="6203" w:type="dxa"/>
          </w:tcPr>
          <w:p w14:paraId="26E820E4" w14:textId="77777777" w:rsidR="00D3446F" w:rsidRPr="00E5245E" w:rsidRDefault="00D3446F" w:rsidP="00F40FDC">
            <w:pPr>
              <w:pStyle w:val="BodyText"/>
              <w:spacing w:line="278" w:lineRule="auto"/>
              <w:ind w:right="148"/>
              <w:rPr>
                <w:sz w:val="18"/>
                <w:szCs w:val="18"/>
              </w:rPr>
            </w:pPr>
          </w:p>
        </w:tc>
      </w:tr>
    </w:tbl>
    <w:p w14:paraId="3CAC3FBB" w14:textId="77777777" w:rsidR="00D3446F" w:rsidRPr="00E5245E" w:rsidRDefault="00D3446F" w:rsidP="00D3446F">
      <w:pPr>
        <w:pStyle w:val="BodyText"/>
        <w:spacing w:line="278" w:lineRule="auto"/>
        <w:ind w:left="117" w:right="148"/>
        <w:rPr>
          <w:sz w:val="20"/>
          <w:szCs w:val="20"/>
        </w:rPr>
      </w:pPr>
    </w:p>
    <w:p w14:paraId="3715C71F" w14:textId="77777777" w:rsidR="00D3446F" w:rsidRPr="00FB2292" w:rsidRDefault="00D3446F" w:rsidP="00D3446F">
      <w:pPr>
        <w:pStyle w:val="Heading1"/>
        <w:rPr>
          <w:sz w:val="18"/>
          <w:szCs w:val="18"/>
          <w:u w:val="single"/>
        </w:rPr>
      </w:pPr>
      <w:r w:rsidRPr="00FB2292">
        <w:rPr>
          <w:sz w:val="18"/>
          <w:szCs w:val="18"/>
          <w:u w:val="single"/>
        </w:rPr>
        <w:t xml:space="preserve">Reason for starting without </w:t>
      </w:r>
      <w:r>
        <w:rPr>
          <w:sz w:val="18"/>
          <w:szCs w:val="18"/>
          <w:u w:val="single"/>
        </w:rPr>
        <w:t>receipt of 2 Satisfactory References:</w:t>
      </w:r>
    </w:p>
    <w:p w14:paraId="5984B019" w14:textId="77777777" w:rsidR="00D3446F" w:rsidRPr="00E5245E" w:rsidRDefault="00D3446F" w:rsidP="00D3446F">
      <w:pPr>
        <w:pStyle w:val="BodyText"/>
        <w:spacing w:before="1"/>
        <w:rPr>
          <w:b/>
          <w:sz w:val="18"/>
          <w:szCs w:val="18"/>
        </w:rPr>
      </w:pPr>
    </w:p>
    <w:p w14:paraId="5264A5FE" w14:textId="77777777" w:rsidR="00D3446F" w:rsidRPr="00E5245E" w:rsidRDefault="00D3446F" w:rsidP="00D3446F">
      <w:pPr>
        <w:pStyle w:val="ListParagraph"/>
        <w:numPr>
          <w:ilvl w:val="0"/>
          <w:numId w:val="1"/>
        </w:numPr>
        <w:tabs>
          <w:tab w:val="left" w:pos="826"/>
          <w:tab w:val="left" w:pos="827"/>
        </w:tabs>
        <w:spacing w:before="0"/>
        <w:rPr>
          <w:sz w:val="18"/>
          <w:szCs w:val="18"/>
        </w:rPr>
      </w:pPr>
      <w:r w:rsidRPr="00E5245E">
        <w:rPr>
          <w:sz w:val="18"/>
          <w:szCs w:val="18"/>
        </w:rPr>
        <w:t>Continuity of the</w:t>
      </w:r>
      <w:r>
        <w:rPr>
          <w:sz w:val="18"/>
          <w:szCs w:val="18"/>
        </w:rPr>
        <w:t xml:space="preserve"> safety </w:t>
      </w:r>
      <w:r w:rsidRPr="00E5245E">
        <w:rPr>
          <w:sz w:val="18"/>
          <w:szCs w:val="18"/>
        </w:rPr>
        <w:t>provision to</w:t>
      </w:r>
      <w:r w:rsidRPr="00E5245E">
        <w:rPr>
          <w:spacing w:val="-4"/>
          <w:sz w:val="18"/>
          <w:szCs w:val="18"/>
        </w:rPr>
        <w:t xml:space="preserve"> </w:t>
      </w:r>
      <w:r>
        <w:rPr>
          <w:sz w:val="18"/>
          <w:szCs w:val="18"/>
        </w:rPr>
        <w:t xml:space="preserve">Residents </w:t>
      </w:r>
      <w:proofErr w:type="gramStart"/>
      <w:r>
        <w:rPr>
          <w:sz w:val="18"/>
          <w:szCs w:val="18"/>
        </w:rPr>
        <w:t>at  (</w:t>
      </w:r>
      <w:proofErr w:type="gramEnd"/>
      <w:r>
        <w:rPr>
          <w:sz w:val="18"/>
          <w:szCs w:val="18"/>
        </w:rPr>
        <w:t>service Name)</w:t>
      </w:r>
    </w:p>
    <w:p w14:paraId="7A40E539" w14:textId="77777777" w:rsidR="00D3446F" w:rsidRPr="00E5245E" w:rsidRDefault="00D3446F" w:rsidP="00D3446F">
      <w:pPr>
        <w:pStyle w:val="BodyText"/>
        <w:rPr>
          <w:sz w:val="18"/>
          <w:szCs w:val="18"/>
        </w:rPr>
      </w:pPr>
    </w:p>
    <w:p w14:paraId="26A6C7C0" w14:textId="77777777" w:rsidR="00D3446F" w:rsidRPr="004E3876" w:rsidRDefault="00D3446F" w:rsidP="00D3446F">
      <w:pPr>
        <w:pStyle w:val="BodyText"/>
        <w:numPr>
          <w:ilvl w:val="0"/>
          <w:numId w:val="1"/>
        </w:numPr>
        <w:tabs>
          <w:tab w:val="left" w:pos="826"/>
        </w:tabs>
        <w:rPr>
          <w:sz w:val="18"/>
          <w:szCs w:val="18"/>
        </w:rPr>
      </w:pPr>
      <w:r w:rsidRPr="00E5245E">
        <w:rPr>
          <w:sz w:val="18"/>
          <w:szCs w:val="18"/>
        </w:rPr>
        <w:t>Other</w:t>
      </w:r>
      <w:r w:rsidRPr="00E5245E">
        <w:rPr>
          <w:spacing w:val="-17"/>
          <w:sz w:val="18"/>
          <w:szCs w:val="18"/>
        </w:rPr>
        <w:t xml:space="preserve"> </w:t>
      </w:r>
      <w:r w:rsidRPr="00E5245E">
        <w:rPr>
          <w:sz w:val="18"/>
          <w:szCs w:val="18"/>
        </w:rPr>
        <w:t>(please</w:t>
      </w:r>
      <w:r w:rsidRPr="00E5245E">
        <w:rPr>
          <w:spacing w:val="-16"/>
          <w:sz w:val="18"/>
          <w:szCs w:val="18"/>
        </w:rPr>
        <w:t xml:space="preserve"> </w:t>
      </w:r>
      <w:r w:rsidRPr="00E5245E">
        <w:rPr>
          <w:sz w:val="18"/>
          <w:szCs w:val="18"/>
        </w:rPr>
        <w:t>state)</w:t>
      </w:r>
      <w:r w:rsidRPr="00E5245E">
        <w:rPr>
          <w:spacing w:val="-39"/>
          <w:sz w:val="18"/>
          <w:szCs w:val="18"/>
        </w:rPr>
        <w:t xml:space="preserve"> </w:t>
      </w:r>
      <w:r>
        <w:rPr>
          <w:sz w:val="18"/>
          <w:szCs w:val="18"/>
        </w:rPr>
        <w:br/>
      </w:r>
      <w:r>
        <w:rPr>
          <w:sz w:val="18"/>
          <w:szCs w:val="18"/>
        </w:rPr>
        <w:br/>
      </w:r>
    </w:p>
    <w:p w14:paraId="6749D6F5" w14:textId="77777777" w:rsidR="00D3446F" w:rsidRPr="00E5245E" w:rsidRDefault="00D3446F" w:rsidP="00D3446F">
      <w:pPr>
        <w:pStyle w:val="BodyText"/>
        <w:tabs>
          <w:tab w:val="left" w:pos="826"/>
        </w:tabs>
        <w:rPr>
          <w:sz w:val="18"/>
          <w:szCs w:val="18"/>
        </w:rPr>
      </w:pPr>
    </w:p>
    <w:p w14:paraId="16C8566A" w14:textId="77777777" w:rsidR="00D3446F" w:rsidRPr="004E3876" w:rsidRDefault="00D3446F" w:rsidP="00D3446F">
      <w:pPr>
        <w:ind w:left="117"/>
        <w:rPr>
          <w:b/>
          <w:sz w:val="18"/>
          <w:szCs w:val="18"/>
        </w:rPr>
      </w:pPr>
      <w:r>
        <w:rPr>
          <w:b/>
          <w:w w:val="105"/>
          <w:sz w:val="18"/>
          <w:szCs w:val="18"/>
        </w:rPr>
        <w:t xml:space="preserve">(List A) </w:t>
      </w:r>
      <w:r w:rsidRPr="004E3876">
        <w:rPr>
          <w:b/>
          <w:w w:val="105"/>
          <w:sz w:val="18"/>
          <w:szCs w:val="18"/>
        </w:rPr>
        <w:t>What to do if an employer reference is unobtainable:</w:t>
      </w:r>
      <w:r w:rsidRPr="004E3876">
        <w:rPr>
          <w:b/>
          <w:w w:val="105"/>
          <w:sz w:val="18"/>
          <w:szCs w:val="18"/>
        </w:rPr>
        <w:br/>
      </w:r>
    </w:p>
    <w:p w14:paraId="1EA7D915" w14:textId="77777777" w:rsidR="00D3446F" w:rsidRPr="004E3876" w:rsidRDefault="00D3446F" w:rsidP="00D3446F">
      <w:pPr>
        <w:ind w:left="117"/>
        <w:rPr>
          <w:sz w:val="18"/>
          <w:szCs w:val="18"/>
        </w:rPr>
      </w:pPr>
      <w:r w:rsidRPr="004E3876">
        <w:rPr>
          <w:w w:val="105"/>
          <w:sz w:val="18"/>
          <w:szCs w:val="18"/>
        </w:rPr>
        <w:t xml:space="preserve">There may be </w:t>
      </w:r>
      <w:proofErr w:type="gramStart"/>
      <w:r w:rsidRPr="004E3876">
        <w:rPr>
          <w:w w:val="105"/>
          <w:sz w:val="18"/>
          <w:szCs w:val="18"/>
        </w:rPr>
        <w:t>a number of</w:t>
      </w:r>
      <w:proofErr w:type="gramEnd"/>
      <w:r w:rsidRPr="004E3876">
        <w:rPr>
          <w:w w:val="105"/>
          <w:sz w:val="18"/>
          <w:szCs w:val="18"/>
        </w:rPr>
        <w:t xml:space="preserve"> reasons as to why an applicant cannot provide you with a referee from a previous employer. For example, this may be because the individual has never worked before, or they have not worked for some considerable time, or their previous employer has ceased trading. In such cases, we would recommend that you seek a reference from their last known employer and source additional character or personal references.</w:t>
      </w:r>
    </w:p>
    <w:p w14:paraId="283FB36D" w14:textId="77777777" w:rsidR="00D3446F" w:rsidRPr="004E3876" w:rsidRDefault="00D3446F" w:rsidP="00D3446F">
      <w:pPr>
        <w:ind w:left="117"/>
        <w:rPr>
          <w:sz w:val="18"/>
          <w:szCs w:val="18"/>
        </w:rPr>
      </w:pPr>
    </w:p>
    <w:p w14:paraId="2ED32A4D" w14:textId="77777777" w:rsidR="00D3446F" w:rsidRPr="004E3876" w:rsidRDefault="00D3446F" w:rsidP="00D3446F">
      <w:pPr>
        <w:ind w:left="117"/>
        <w:rPr>
          <w:sz w:val="18"/>
          <w:szCs w:val="18"/>
        </w:rPr>
      </w:pPr>
      <w:r w:rsidRPr="004E3876">
        <w:rPr>
          <w:sz w:val="18"/>
          <w:szCs w:val="18"/>
        </w:rPr>
        <w:t xml:space="preserve">If an employer refuses to provide a reference, employers may choose to seek the necessary assurances by obtaining a character or personal reference. Any recruitment decision should be made on a case-by-case basis without prejudice, </w:t>
      </w:r>
      <w:proofErr w:type="gramStart"/>
      <w:r w:rsidRPr="004E3876">
        <w:rPr>
          <w:sz w:val="18"/>
          <w:szCs w:val="18"/>
        </w:rPr>
        <w:t>taking into account</w:t>
      </w:r>
      <w:proofErr w:type="gramEnd"/>
      <w:r w:rsidRPr="004E3876">
        <w:rPr>
          <w:sz w:val="18"/>
          <w:szCs w:val="18"/>
        </w:rPr>
        <w:t xml:space="preserve"> what information the individual can genuinely present you with, as part of the wider recruitment</w:t>
      </w:r>
      <w:r w:rsidRPr="004E3876">
        <w:rPr>
          <w:spacing w:val="12"/>
          <w:sz w:val="18"/>
          <w:szCs w:val="18"/>
        </w:rPr>
        <w:t xml:space="preserve"> </w:t>
      </w:r>
      <w:r w:rsidRPr="004E3876">
        <w:rPr>
          <w:sz w:val="18"/>
          <w:szCs w:val="18"/>
        </w:rPr>
        <w:t>process.</w:t>
      </w:r>
      <w:r w:rsidRPr="004E3876">
        <w:rPr>
          <w:sz w:val="18"/>
          <w:szCs w:val="18"/>
        </w:rPr>
        <w:br/>
      </w:r>
      <w:r w:rsidRPr="004E3876">
        <w:rPr>
          <w:sz w:val="18"/>
          <w:szCs w:val="18"/>
        </w:rPr>
        <w:br/>
      </w:r>
    </w:p>
    <w:p w14:paraId="760A8D4F" w14:textId="77777777" w:rsidR="00D3446F" w:rsidRPr="004E3876" w:rsidRDefault="00D3446F" w:rsidP="00D3446F">
      <w:pPr>
        <w:ind w:left="117"/>
        <w:rPr>
          <w:b/>
          <w:sz w:val="18"/>
          <w:szCs w:val="18"/>
        </w:rPr>
      </w:pPr>
      <w:r w:rsidRPr="004E3876">
        <w:rPr>
          <w:b/>
          <w:sz w:val="18"/>
          <w:szCs w:val="18"/>
        </w:rPr>
        <w:t>Other types of reference:</w:t>
      </w:r>
      <w:r w:rsidRPr="004E3876">
        <w:rPr>
          <w:b/>
          <w:sz w:val="18"/>
          <w:szCs w:val="18"/>
        </w:rPr>
        <w:br/>
      </w:r>
    </w:p>
    <w:p w14:paraId="0DDBF887" w14:textId="77777777" w:rsidR="00D3446F" w:rsidRPr="004E3876" w:rsidRDefault="00D3446F" w:rsidP="00D3446F">
      <w:pPr>
        <w:ind w:left="117"/>
        <w:rPr>
          <w:sz w:val="18"/>
          <w:szCs w:val="18"/>
          <w:u w:val="single"/>
        </w:rPr>
      </w:pPr>
      <w:r w:rsidRPr="004E3876">
        <w:rPr>
          <w:w w:val="110"/>
          <w:sz w:val="18"/>
          <w:szCs w:val="18"/>
          <w:u w:val="single"/>
        </w:rPr>
        <w:t>Character/personal references</w:t>
      </w:r>
    </w:p>
    <w:p w14:paraId="4ADA0B04" w14:textId="77777777" w:rsidR="00D3446F" w:rsidRPr="004E3876" w:rsidRDefault="00D3446F" w:rsidP="00D3446F">
      <w:pPr>
        <w:ind w:left="117"/>
        <w:rPr>
          <w:sz w:val="18"/>
          <w:szCs w:val="18"/>
        </w:rPr>
      </w:pPr>
      <w:r w:rsidRPr="004E3876">
        <w:rPr>
          <w:w w:val="105"/>
          <w:sz w:val="18"/>
          <w:szCs w:val="18"/>
        </w:rPr>
        <w:t>Character and personal references may be useful to provide invaluable information to help build up a picture of the applicant's reliability, integrity, life/social skills and experiences. They may also be useful to further support an application if the individual has a previous criminal history or cannot provide a previous employer reference.</w:t>
      </w:r>
      <w:r w:rsidRPr="004E3876">
        <w:rPr>
          <w:sz w:val="18"/>
          <w:szCs w:val="18"/>
        </w:rPr>
        <w:t xml:space="preserve"> </w:t>
      </w:r>
      <w:r w:rsidRPr="004E3876">
        <w:rPr>
          <w:w w:val="105"/>
          <w:sz w:val="18"/>
          <w:szCs w:val="18"/>
        </w:rPr>
        <w:t xml:space="preserve">If an employee is approached to give a character or personal reference, it is advisable for them to clarify that the information they are providing is based on their relationship with the applicant in a personal capacity. Such references are not required to be presented on headed paper or with the </w:t>
      </w:r>
      <w:proofErr w:type="spellStart"/>
      <w:r w:rsidRPr="004E3876">
        <w:rPr>
          <w:w w:val="105"/>
          <w:sz w:val="18"/>
          <w:szCs w:val="18"/>
        </w:rPr>
        <w:t>organisation's</w:t>
      </w:r>
      <w:proofErr w:type="spellEnd"/>
      <w:r w:rsidRPr="004E3876">
        <w:rPr>
          <w:w w:val="105"/>
          <w:sz w:val="18"/>
          <w:szCs w:val="18"/>
        </w:rPr>
        <w:t xml:space="preserve"> stamp.</w:t>
      </w:r>
      <w:r w:rsidRPr="004E3876">
        <w:rPr>
          <w:w w:val="105"/>
          <w:sz w:val="18"/>
          <w:szCs w:val="18"/>
        </w:rPr>
        <w:br/>
      </w:r>
      <w:r w:rsidRPr="004E3876">
        <w:rPr>
          <w:w w:val="105"/>
          <w:sz w:val="18"/>
          <w:szCs w:val="18"/>
        </w:rPr>
        <w:br/>
        <w:t xml:space="preserve">Character and personal references should be sought from personal acquaintances that are not related to </w:t>
      </w:r>
      <w:r w:rsidRPr="004E3876">
        <w:rPr>
          <w:w w:val="105"/>
          <w:sz w:val="18"/>
          <w:szCs w:val="18"/>
        </w:rPr>
        <w:lastRenderedPageBreak/>
        <w:t xml:space="preserve">the applicant, and who do not hold any financial arrangements with that individual. Personal acquaintances may include professors, academic advisors or someone of some standing in the applicant's community. </w:t>
      </w:r>
    </w:p>
    <w:p w14:paraId="29E5663B" w14:textId="77777777" w:rsidR="00D3446F" w:rsidRPr="004E3876" w:rsidRDefault="00D3446F" w:rsidP="00D3446F">
      <w:pPr>
        <w:ind w:left="117"/>
        <w:rPr>
          <w:sz w:val="18"/>
          <w:szCs w:val="18"/>
        </w:rPr>
      </w:pPr>
    </w:p>
    <w:p w14:paraId="608FADBD" w14:textId="77777777" w:rsidR="00D3446F" w:rsidRPr="004E3876" w:rsidRDefault="00D3446F" w:rsidP="00D3446F">
      <w:pPr>
        <w:ind w:left="117"/>
        <w:rPr>
          <w:sz w:val="18"/>
          <w:szCs w:val="18"/>
          <w:u w:val="single"/>
        </w:rPr>
      </w:pPr>
      <w:r w:rsidRPr="004E3876">
        <w:rPr>
          <w:w w:val="110"/>
          <w:sz w:val="18"/>
          <w:szCs w:val="18"/>
          <w:u w:val="single"/>
        </w:rPr>
        <w:t>Volunteer-activity reference</w:t>
      </w:r>
    </w:p>
    <w:p w14:paraId="0309105E" w14:textId="77777777" w:rsidR="00D3446F" w:rsidRPr="004E3876" w:rsidRDefault="00D3446F" w:rsidP="00D3446F">
      <w:pPr>
        <w:ind w:left="117"/>
        <w:rPr>
          <w:sz w:val="18"/>
          <w:szCs w:val="18"/>
        </w:rPr>
      </w:pPr>
      <w:r w:rsidRPr="004E3876">
        <w:rPr>
          <w:w w:val="105"/>
          <w:sz w:val="18"/>
          <w:szCs w:val="18"/>
        </w:rPr>
        <w:t xml:space="preserve">Where the applicant has indicated that they have undertaken volunteer work, references may be sought through the relevant charity body or </w:t>
      </w:r>
      <w:proofErr w:type="spellStart"/>
      <w:r w:rsidRPr="004E3876">
        <w:rPr>
          <w:w w:val="105"/>
          <w:sz w:val="18"/>
          <w:szCs w:val="18"/>
        </w:rPr>
        <w:t>organisation</w:t>
      </w:r>
      <w:proofErr w:type="spellEnd"/>
      <w:r w:rsidRPr="004E3876">
        <w:rPr>
          <w:w w:val="105"/>
          <w:sz w:val="18"/>
          <w:szCs w:val="18"/>
        </w:rPr>
        <w:t xml:space="preserve"> hosting that activity.</w:t>
      </w:r>
    </w:p>
    <w:p w14:paraId="0DC59E6C" w14:textId="77777777" w:rsidR="00D3446F" w:rsidRPr="004E3876" w:rsidRDefault="00D3446F" w:rsidP="00D3446F">
      <w:pPr>
        <w:ind w:left="117"/>
        <w:rPr>
          <w:sz w:val="18"/>
          <w:szCs w:val="18"/>
        </w:rPr>
      </w:pPr>
    </w:p>
    <w:p w14:paraId="715B5885" w14:textId="77777777" w:rsidR="00D3446F" w:rsidRPr="004E3876" w:rsidRDefault="00D3446F" w:rsidP="00D3446F">
      <w:pPr>
        <w:ind w:left="117"/>
        <w:rPr>
          <w:sz w:val="18"/>
          <w:szCs w:val="18"/>
          <w:u w:val="single"/>
        </w:rPr>
      </w:pPr>
      <w:r w:rsidRPr="004E3876">
        <w:rPr>
          <w:w w:val="105"/>
          <w:sz w:val="18"/>
          <w:szCs w:val="18"/>
          <w:u w:val="single"/>
        </w:rPr>
        <w:t>Training history reference</w:t>
      </w:r>
    </w:p>
    <w:p w14:paraId="585FDB81" w14:textId="77777777" w:rsidR="00D3446F" w:rsidRPr="004E3876" w:rsidRDefault="00D3446F" w:rsidP="00D3446F">
      <w:pPr>
        <w:ind w:left="117"/>
        <w:rPr>
          <w:sz w:val="18"/>
          <w:szCs w:val="18"/>
        </w:rPr>
      </w:pPr>
      <w:r w:rsidRPr="004E3876">
        <w:rPr>
          <w:w w:val="105"/>
          <w:sz w:val="18"/>
          <w:szCs w:val="18"/>
        </w:rPr>
        <w:t>If the applicant has indicated that they have left or are leaving full-time education, references to validate their training history should be sought from the individual's professor, academic tutor or head teacher using the template in appendix 4.</w:t>
      </w:r>
    </w:p>
    <w:p w14:paraId="7074C0FF" w14:textId="77777777" w:rsidR="00D3446F" w:rsidRPr="004E3876" w:rsidRDefault="00D3446F" w:rsidP="00D3446F">
      <w:pPr>
        <w:ind w:left="117"/>
        <w:rPr>
          <w:sz w:val="18"/>
          <w:szCs w:val="18"/>
        </w:rPr>
      </w:pPr>
    </w:p>
    <w:p w14:paraId="4A1CEE5F" w14:textId="77777777" w:rsidR="00D3446F" w:rsidRDefault="00D3446F" w:rsidP="00D3446F">
      <w:pPr>
        <w:ind w:left="117"/>
        <w:rPr>
          <w:w w:val="110"/>
          <w:sz w:val="18"/>
          <w:szCs w:val="18"/>
          <w:u w:val="single"/>
        </w:rPr>
      </w:pPr>
    </w:p>
    <w:p w14:paraId="52F1968A" w14:textId="77777777" w:rsidR="00D3446F" w:rsidRDefault="00D3446F" w:rsidP="00D3446F">
      <w:pPr>
        <w:ind w:left="117"/>
        <w:rPr>
          <w:w w:val="110"/>
          <w:sz w:val="18"/>
          <w:szCs w:val="18"/>
          <w:u w:val="single"/>
        </w:rPr>
      </w:pPr>
    </w:p>
    <w:p w14:paraId="192918C8" w14:textId="77777777" w:rsidR="00D3446F" w:rsidRDefault="00D3446F" w:rsidP="00D3446F">
      <w:pPr>
        <w:ind w:left="117"/>
        <w:rPr>
          <w:w w:val="110"/>
          <w:sz w:val="18"/>
          <w:szCs w:val="18"/>
          <w:u w:val="single"/>
        </w:rPr>
      </w:pPr>
    </w:p>
    <w:p w14:paraId="58A872AB" w14:textId="77777777" w:rsidR="00D3446F" w:rsidRPr="004E3876" w:rsidRDefault="00D3446F" w:rsidP="00D3446F">
      <w:pPr>
        <w:ind w:left="117"/>
        <w:rPr>
          <w:sz w:val="18"/>
          <w:szCs w:val="18"/>
          <w:u w:val="single"/>
        </w:rPr>
      </w:pPr>
      <w:r w:rsidRPr="004E3876">
        <w:rPr>
          <w:w w:val="110"/>
          <w:sz w:val="18"/>
          <w:szCs w:val="18"/>
          <w:u w:val="single"/>
        </w:rPr>
        <w:t>Self-employment reference</w:t>
      </w:r>
    </w:p>
    <w:p w14:paraId="5143E4EF" w14:textId="77777777" w:rsidR="00D3446F" w:rsidRDefault="00D3446F" w:rsidP="00D3446F">
      <w:pPr>
        <w:ind w:left="117"/>
        <w:rPr>
          <w:w w:val="105"/>
          <w:sz w:val="18"/>
          <w:szCs w:val="18"/>
        </w:rPr>
      </w:pPr>
      <w:r w:rsidRPr="004E3876">
        <w:rPr>
          <w:w w:val="105"/>
          <w:sz w:val="18"/>
          <w:szCs w:val="18"/>
        </w:rPr>
        <w:t>For periods of self-employment, references should be sought to confirm that the individual's business was properly conducted. This may include seeking information from customers or clients, bankers, accountants, HM Revenue and Customs.</w:t>
      </w:r>
    </w:p>
    <w:p w14:paraId="34B2845C" w14:textId="77777777" w:rsidR="00D3446F" w:rsidRPr="004E3876" w:rsidRDefault="00D3446F" w:rsidP="00D3446F">
      <w:pPr>
        <w:ind w:left="117"/>
        <w:rPr>
          <w:sz w:val="18"/>
          <w:szCs w:val="18"/>
        </w:rPr>
      </w:pPr>
    </w:p>
    <w:p w14:paraId="3F8C879A" w14:textId="77777777" w:rsidR="00D3446F" w:rsidRPr="004E3876" w:rsidRDefault="00D3446F" w:rsidP="00D3446F">
      <w:pPr>
        <w:ind w:left="117"/>
        <w:rPr>
          <w:sz w:val="18"/>
          <w:szCs w:val="18"/>
        </w:rPr>
      </w:pPr>
    </w:p>
    <w:p w14:paraId="0D3AF20B" w14:textId="77777777" w:rsidR="00D3446F" w:rsidRPr="004E3876" w:rsidRDefault="00D3446F" w:rsidP="00D3446F">
      <w:pPr>
        <w:ind w:left="117"/>
        <w:rPr>
          <w:sz w:val="18"/>
          <w:szCs w:val="18"/>
          <w:u w:val="single"/>
        </w:rPr>
      </w:pPr>
      <w:r w:rsidRPr="004E3876">
        <w:rPr>
          <w:w w:val="105"/>
          <w:sz w:val="18"/>
          <w:szCs w:val="18"/>
          <w:u w:val="single"/>
        </w:rPr>
        <w:t>Overseas references</w:t>
      </w:r>
    </w:p>
    <w:p w14:paraId="29645455" w14:textId="77777777" w:rsidR="00D3446F" w:rsidRPr="004E3876" w:rsidRDefault="00D3446F" w:rsidP="00D3446F">
      <w:pPr>
        <w:ind w:left="117"/>
        <w:rPr>
          <w:sz w:val="18"/>
          <w:szCs w:val="18"/>
        </w:rPr>
      </w:pPr>
      <w:r w:rsidRPr="004E3876">
        <w:rPr>
          <w:w w:val="105"/>
          <w:sz w:val="18"/>
          <w:szCs w:val="18"/>
        </w:rPr>
        <w:t>As part of the application process, individuals are required to give a reasonable account of any significant periods of time spent overseas [for the purpose of this standard, this should be where individuals have spent a continuous period of six months or more overseas].</w:t>
      </w:r>
    </w:p>
    <w:p w14:paraId="09040D89" w14:textId="77777777" w:rsidR="00D3446F" w:rsidRPr="004E3876" w:rsidRDefault="00D3446F" w:rsidP="00D3446F">
      <w:pPr>
        <w:pStyle w:val="ListParagraph"/>
        <w:ind w:firstLine="0"/>
        <w:rPr>
          <w:sz w:val="18"/>
          <w:szCs w:val="18"/>
        </w:rPr>
      </w:pPr>
    </w:p>
    <w:p w14:paraId="7B87ED46" w14:textId="77777777" w:rsidR="00D3446F" w:rsidRPr="004E3876" w:rsidRDefault="00D3446F" w:rsidP="00D3446F">
      <w:pPr>
        <w:ind w:left="117"/>
        <w:rPr>
          <w:sz w:val="18"/>
          <w:szCs w:val="18"/>
        </w:rPr>
      </w:pPr>
      <w:r w:rsidRPr="004E3876">
        <w:rPr>
          <w:w w:val="105"/>
          <w:sz w:val="18"/>
          <w:szCs w:val="18"/>
        </w:rPr>
        <w:t>If the applicant has declared that they have been employed [including volunteering activities or time served in the armed forces]. or have trained overseas, every effort should be made to seek adequate references from the relevant body as early in the recruitment process as possible to prevent any unnecessary delays in making the appointment.</w:t>
      </w:r>
      <w:r w:rsidRPr="004E3876">
        <w:rPr>
          <w:sz w:val="18"/>
          <w:szCs w:val="18"/>
        </w:rPr>
        <w:t xml:space="preserve"> </w:t>
      </w:r>
      <w:r w:rsidRPr="004E3876">
        <w:rPr>
          <w:w w:val="105"/>
          <w:sz w:val="18"/>
          <w:szCs w:val="18"/>
        </w:rPr>
        <w:t xml:space="preserve">In </w:t>
      </w:r>
      <w:proofErr w:type="gramStart"/>
      <w:r w:rsidRPr="004E3876">
        <w:rPr>
          <w:w w:val="105"/>
          <w:sz w:val="18"/>
          <w:szCs w:val="18"/>
        </w:rPr>
        <w:t>a number of</w:t>
      </w:r>
      <w:proofErr w:type="gramEnd"/>
      <w:r w:rsidRPr="004E3876">
        <w:rPr>
          <w:w w:val="105"/>
          <w:sz w:val="18"/>
          <w:szCs w:val="18"/>
        </w:rPr>
        <w:t xml:space="preserve"> European countries, employees are issued with a government­ issued </w:t>
      </w:r>
      <w:proofErr w:type="spellStart"/>
      <w:r w:rsidRPr="004E3876">
        <w:rPr>
          <w:w w:val="105"/>
          <w:sz w:val="18"/>
          <w:szCs w:val="18"/>
        </w:rPr>
        <w:t>labour</w:t>
      </w:r>
      <w:proofErr w:type="spellEnd"/>
      <w:r w:rsidRPr="004E3876">
        <w:rPr>
          <w:w w:val="105"/>
          <w:sz w:val="18"/>
          <w:szCs w:val="18"/>
        </w:rPr>
        <w:t xml:space="preserve"> book which contains information about their employment history. If applicants present a </w:t>
      </w:r>
      <w:proofErr w:type="spellStart"/>
      <w:r w:rsidRPr="004E3876">
        <w:rPr>
          <w:w w:val="105"/>
          <w:sz w:val="18"/>
          <w:szCs w:val="18"/>
        </w:rPr>
        <w:t>labour</w:t>
      </w:r>
      <w:proofErr w:type="spellEnd"/>
      <w:r w:rsidRPr="004E3876">
        <w:rPr>
          <w:w w:val="105"/>
          <w:sz w:val="18"/>
          <w:szCs w:val="18"/>
        </w:rPr>
        <w:t xml:space="preserve"> book, employers may accept this document instead of seeking a separate reference directly from the applicant's</w:t>
      </w:r>
      <w:r w:rsidRPr="004E3876">
        <w:rPr>
          <w:spacing w:val="50"/>
          <w:w w:val="105"/>
          <w:sz w:val="18"/>
          <w:szCs w:val="18"/>
        </w:rPr>
        <w:t xml:space="preserve"> </w:t>
      </w:r>
      <w:r w:rsidRPr="004E3876">
        <w:rPr>
          <w:w w:val="105"/>
          <w:sz w:val="18"/>
          <w:szCs w:val="18"/>
        </w:rPr>
        <w:t>employer.</w:t>
      </w:r>
    </w:p>
    <w:p w14:paraId="28A69296" w14:textId="77777777" w:rsidR="00D3446F" w:rsidRPr="00E5245E" w:rsidRDefault="00D3446F" w:rsidP="00D3446F">
      <w:pPr>
        <w:pStyle w:val="BodyText"/>
        <w:ind w:left="720"/>
        <w:rPr>
          <w:sz w:val="18"/>
          <w:szCs w:val="18"/>
        </w:rPr>
      </w:pPr>
    </w:p>
    <w:p w14:paraId="29576DAA" w14:textId="77777777" w:rsidR="00892171" w:rsidRDefault="00892171"/>
    <w:sectPr w:rsidR="00892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1584"/>
    <w:multiLevelType w:val="hybridMultilevel"/>
    <w:tmpl w:val="DE4EE192"/>
    <w:lvl w:ilvl="0" w:tplc="E0D61014">
      <w:numFmt w:val="bullet"/>
      <w:lvlText w:val="□"/>
      <w:lvlJc w:val="left"/>
      <w:pPr>
        <w:ind w:left="826" w:hanging="709"/>
      </w:pPr>
      <w:rPr>
        <w:rFonts w:ascii="Arial" w:eastAsia="Arial" w:hAnsi="Arial" w:cs="Arial" w:hint="default"/>
        <w:w w:val="147"/>
        <w:sz w:val="24"/>
        <w:szCs w:val="24"/>
      </w:rPr>
    </w:lvl>
    <w:lvl w:ilvl="1" w:tplc="339EB4CA">
      <w:numFmt w:val="bullet"/>
      <w:lvlText w:val="•"/>
      <w:lvlJc w:val="left"/>
      <w:pPr>
        <w:ind w:left="1662" w:hanging="709"/>
      </w:pPr>
      <w:rPr>
        <w:rFonts w:hint="default"/>
      </w:rPr>
    </w:lvl>
    <w:lvl w:ilvl="2" w:tplc="5658D024">
      <w:numFmt w:val="bullet"/>
      <w:lvlText w:val="•"/>
      <w:lvlJc w:val="left"/>
      <w:pPr>
        <w:ind w:left="2505" w:hanging="709"/>
      </w:pPr>
      <w:rPr>
        <w:rFonts w:hint="default"/>
      </w:rPr>
    </w:lvl>
    <w:lvl w:ilvl="3" w:tplc="A4480180">
      <w:numFmt w:val="bullet"/>
      <w:lvlText w:val="•"/>
      <w:lvlJc w:val="left"/>
      <w:pPr>
        <w:ind w:left="3347" w:hanging="709"/>
      </w:pPr>
      <w:rPr>
        <w:rFonts w:hint="default"/>
      </w:rPr>
    </w:lvl>
    <w:lvl w:ilvl="4" w:tplc="E81AEC08">
      <w:numFmt w:val="bullet"/>
      <w:lvlText w:val="•"/>
      <w:lvlJc w:val="left"/>
      <w:pPr>
        <w:ind w:left="4190" w:hanging="709"/>
      </w:pPr>
      <w:rPr>
        <w:rFonts w:hint="default"/>
      </w:rPr>
    </w:lvl>
    <w:lvl w:ilvl="5" w:tplc="9ECC86D0">
      <w:numFmt w:val="bullet"/>
      <w:lvlText w:val="•"/>
      <w:lvlJc w:val="left"/>
      <w:pPr>
        <w:ind w:left="5032" w:hanging="709"/>
      </w:pPr>
      <w:rPr>
        <w:rFonts w:hint="default"/>
      </w:rPr>
    </w:lvl>
    <w:lvl w:ilvl="6" w:tplc="759E8F30">
      <w:numFmt w:val="bullet"/>
      <w:lvlText w:val="•"/>
      <w:lvlJc w:val="left"/>
      <w:pPr>
        <w:ind w:left="5875" w:hanging="709"/>
      </w:pPr>
      <w:rPr>
        <w:rFonts w:hint="default"/>
      </w:rPr>
    </w:lvl>
    <w:lvl w:ilvl="7" w:tplc="970AD6CE">
      <w:numFmt w:val="bullet"/>
      <w:lvlText w:val="•"/>
      <w:lvlJc w:val="left"/>
      <w:pPr>
        <w:ind w:left="6718" w:hanging="709"/>
      </w:pPr>
      <w:rPr>
        <w:rFonts w:hint="default"/>
      </w:rPr>
    </w:lvl>
    <w:lvl w:ilvl="8" w:tplc="23C81330">
      <w:numFmt w:val="bullet"/>
      <w:lvlText w:val="•"/>
      <w:lvlJc w:val="left"/>
      <w:pPr>
        <w:ind w:left="7560"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6F"/>
    <w:rsid w:val="00490230"/>
    <w:rsid w:val="00892171"/>
    <w:rsid w:val="00D3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9721"/>
  <w15:chartTrackingRefBased/>
  <w15:docId w15:val="{1EE62F4E-50CA-4F44-A187-9349545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46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3446F"/>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46F"/>
    <w:rPr>
      <w:rFonts w:ascii="Arial" w:eastAsia="Arial" w:hAnsi="Arial" w:cs="Arial"/>
      <w:b/>
      <w:bCs/>
      <w:sz w:val="24"/>
      <w:szCs w:val="24"/>
      <w:lang w:val="en-US"/>
    </w:rPr>
  </w:style>
  <w:style w:type="paragraph" w:styleId="BodyText">
    <w:name w:val="Body Text"/>
    <w:basedOn w:val="Normal"/>
    <w:link w:val="BodyTextChar"/>
    <w:uiPriority w:val="1"/>
    <w:qFormat/>
    <w:rsid w:val="00D3446F"/>
    <w:rPr>
      <w:sz w:val="24"/>
      <w:szCs w:val="24"/>
    </w:rPr>
  </w:style>
  <w:style w:type="character" w:customStyle="1" w:styleId="BodyTextChar">
    <w:name w:val="Body Text Char"/>
    <w:basedOn w:val="DefaultParagraphFont"/>
    <w:link w:val="BodyText"/>
    <w:uiPriority w:val="1"/>
    <w:rsid w:val="00D3446F"/>
    <w:rPr>
      <w:rFonts w:ascii="Arial" w:eastAsia="Arial" w:hAnsi="Arial" w:cs="Arial"/>
      <w:sz w:val="24"/>
      <w:szCs w:val="24"/>
      <w:lang w:val="en-US"/>
    </w:rPr>
  </w:style>
  <w:style w:type="paragraph" w:styleId="ListParagraph">
    <w:name w:val="List Paragraph"/>
    <w:basedOn w:val="Normal"/>
    <w:uiPriority w:val="1"/>
    <w:qFormat/>
    <w:rsid w:val="00D3446F"/>
    <w:pPr>
      <w:spacing w:before="137"/>
      <w:ind w:left="826" w:hanging="709"/>
    </w:pPr>
  </w:style>
  <w:style w:type="table" w:styleId="TableGrid">
    <w:name w:val="Table Grid"/>
    <w:basedOn w:val="TableNormal"/>
    <w:uiPriority w:val="39"/>
    <w:rsid w:val="00D3446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Stanley</dc:creator>
  <cp:keywords/>
  <dc:description/>
  <cp:lastModifiedBy>Jon Stanley</cp:lastModifiedBy>
  <cp:revision>1</cp:revision>
  <dcterms:created xsi:type="dcterms:W3CDTF">2020-03-26T14:27:00Z</dcterms:created>
  <dcterms:modified xsi:type="dcterms:W3CDTF">2020-03-26T14:39:00Z</dcterms:modified>
</cp:coreProperties>
</file>