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7795" w14:textId="2E34FF74" w:rsidR="00424D41" w:rsidRDefault="00424D41" w:rsidP="00963FE1">
      <w:pPr>
        <w:ind w:left="709"/>
        <w:rPr>
          <w:b/>
          <w:bCs/>
          <w:sz w:val="32"/>
          <w:szCs w:val="32"/>
        </w:rPr>
      </w:pPr>
      <w:r w:rsidRPr="00424D41">
        <w:rPr>
          <w:noProof/>
        </w:rPr>
        <w:drawing>
          <wp:inline distT="0" distB="0" distL="0" distR="0" wp14:anchorId="4CED4540" wp14:editId="4DA7F1F7">
            <wp:extent cx="1847850" cy="94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8132" cy="951915"/>
                    </a:xfrm>
                    <a:prstGeom prst="rect">
                      <a:avLst/>
                    </a:prstGeom>
                  </pic:spPr>
                </pic:pic>
              </a:graphicData>
            </a:graphic>
          </wp:inline>
        </w:drawing>
      </w:r>
      <w:r w:rsidR="00963FE1">
        <w:rPr>
          <w:b/>
          <w:bCs/>
          <w:sz w:val="32"/>
          <w:szCs w:val="32"/>
        </w:rPr>
        <w:tab/>
      </w:r>
      <w:r w:rsidR="00963FE1">
        <w:rPr>
          <w:b/>
          <w:bCs/>
          <w:noProof/>
          <w:sz w:val="32"/>
          <w:szCs w:val="32"/>
        </w:rPr>
        <w:t xml:space="preserve">                                                                                                      </w:t>
      </w:r>
      <w:r w:rsidR="00963FE1">
        <w:rPr>
          <w:b/>
          <w:bCs/>
          <w:noProof/>
          <w:sz w:val="32"/>
          <w:szCs w:val="32"/>
        </w:rPr>
        <w:drawing>
          <wp:inline distT="0" distB="0" distL="0" distR="0" wp14:anchorId="493B4AA1" wp14:editId="72356A24">
            <wp:extent cx="2000250" cy="8565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_Logo_Revised_Visua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277" cy="901534"/>
                    </a:xfrm>
                    <a:prstGeom prst="rect">
                      <a:avLst/>
                    </a:prstGeom>
                  </pic:spPr>
                </pic:pic>
              </a:graphicData>
            </a:graphic>
          </wp:inline>
        </w:drawing>
      </w:r>
    </w:p>
    <w:p w14:paraId="4051E570" w14:textId="7B921CCA" w:rsidR="00D95300" w:rsidRPr="00424D41" w:rsidRDefault="00D95300" w:rsidP="007E299F">
      <w:pPr>
        <w:ind w:left="709"/>
        <w:jc w:val="center"/>
        <w:rPr>
          <w:b/>
          <w:bCs/>
          <w:sz w:val="26"/>
          <w:szCs w:val="26"/>
        </w:rPr>
      </w:pPr>
      <w:r w:rsidRPr="00424D41">
        <w:rPr>
          <w:b/>
          <w:bCs/>
          <w:sz w:val="32"/>
          <w:szCs w:val="32"/>
        </w:rPr>
        <w:t>Brexit and what you need to think abou</w:t>
      </w:r>
      <w:r w:rsidR="00424D41">
        <w:rPr>
          <w:b/>
          <w:bCs/>
          <w:sz w:val="32"/>
          <w:szCs w:val="32"/>
        </w:rPr>
        <w:t>t</w:t>
      </w:r>
      <w:r w:rsidRPr="00424D41">
        <w:rPr>
          <w:b/>
          <w:bCs/>
          <w:sz w:val="32"/>
          <w:szCs w:val="32"/>
        </w:rPr>
        <w:t>…!</w:t>
      </w:r>
    </w:p>
    <w:p w14:paraId="0969B956" w14:textId="0AD468D7" w:rsidR="007066EB" w:rsidRPr="00424D41" w:rsidRDefault="009B1735" w:rsidP="007066EB">
      <w:pPr>
        <w:ind w:left="709"/>
        <w:rPr>
          <w:b/>
          <w:bCs/>
          <w:sz w:val="26"/>
          <w:szCs w:val="26"/>
        </w:rPr>
      </w:pPr>
      <w:r>
        <w:rPr>
          <w:b/>
          <w:bCs/>
          <w:sz w:val="26"/>
          <w:szCs w:val="26"/>
        </w:rPr>
        <w:t>Surrey Care Association</w:t>
      </w:r>
      <w:r w:rsidR="00424D41" w:rsidRPr="00424D41">
        <w:rPr>
          <w:b/>
          <w:bCs/>
          <w:sz w:val="26"/>
          <w:szCs w:val="26"/>
        </w:rPr>
        <w:t xml:space="preserve"> understand</w:t>
      </w:r>
      <w:r>
        <w:rPr>
          <w:b/>
          <w:bCs/>
          <w:sz w:val="26"/>
          <w:szCs w:val="26"/>
        </w:rPr>
        <w:t>s</w:t>
      </w:r>
      <w:r w:rsidR="00424D41" w:rsidRPr="00424D41">
        <w:rPr>
          <w:b/>
          <w:bCs/>
          <w:sz w:val="26"/>
          <w:szCs w:val="26"/>
        </w:rPr>
        <w:t xml:space="preserve"> that </w:t>
      </w:r>
      <w:r w:rsidR="007066EB">
        <w:rPr>
          <w:b/>
          <w:bCs/>
          <w:sz w:val="26"/>
          <w:szCs w:val="26"/>
        </w:rPr>
        <w:t>peopl</w:t>
      </w:r>
      <w:r w:rsidR="00424D41" w:rsidRPr="00424D41">
        <w:rPr>
          <w:b/>
          <w:bCs/>
          <w:sz w:val="26"/>
          <w:szCs w:val="26"/>
        </w:rPr>
        <w:t>e</w:t>
      </w:r>
      <w:r w:rsidR="001D13C9">
        <w:rPr>
          <w:b/>
          <w:bCs/>
          <w:sz w:val="26"/>
          <w:szCs w:val="26"/>
        </w:rPr>
        <w:t xml:space="preserve"> </w:t>
      </w:r>
      <w:r>
        <w:rPr>
          <w:b/>
          <w:bCs/>
          <w:sz w:val="26"/>
          <w:szCs w:val="26"/>
        </w:rPr>
        <w:t>are</w:t>
      </w:r>
      <w:r w:rsidR="00424D41" w:rsidRPr="00424D41">
        <w:rPr>
          <w:b/>
          <w:bCs/>
          <w:sz w:val="26"/>
          <w:szCs w:val="26"/>
        </w:rPr>
        <w:t xml:space="preserve"> unsure how Brexit will affect day to day delivery or care and support. </w:t>
      </w:r>
      <w:r w:rsidR="00A23AFB">
        <w:rPr>
          <w:b/>
          <w:bCs/>
          <w:sz w:val="26"/>
          <w:szCs w:val="26"/>
        </w:rPr>
        <w:t xml:space="preserve">We are </w:t>
      </w:r>
      <w:r>
        <w:rPr>
          <w:b/>
          <w:bCs/>
          <w:sz w:val="26"/>
          <w:szCs w:val="26"/>
        </w:rPr>
        <w:t>liaising</w:t>
      </w:r>
      <w:r w:rsidR="00A23AFB">
        <w:rPr>
          <w:b/>
          <w:bCs/>
          <w:sz w:val="26"/>
          <w:szCs w:val="26"/>
        </w:rPr>
        <w:t xml:space="preserve"> with the </w:t>
      </w:r>
      <w:r w:rsidRPr="009B1735">
        <w:rPr>
          <w:b/>
          <w:bCs/>
          <w:sz w:val="26"/>
          <w:szCs w:val="26"/>
        </w:rPr>
        <w:t xml:space="preserve">Local Resilience Forums </w:t>
      </w:r>
      <w:r>
        <w:rPr>
          <w:b/>
          <w:bCs/>
          <w:sz w:val="26"/>
          <w:szCs w:val="26"/>
        </w:rPr>
        <w:t>to</w:t>
      </w:r>
      <w:r w:rsidR="00424D41" w:rsidRPr="00424D41">
        <w:rPr>
          <w:b/>
          <w:bCs/>
          <w:sz w:val="26"/>
          <w:szCs w:val="26"/>
        </w:rPr>
        <w:t xml:space="preserve"> </w:t>
      </w:r>
      <w:r w:rsidRPr="00424D41">
        <w:rPr>
          <w:b/>
          <w:bCs/>
          <w:sz w:val="26"/>
          <w:szCs w:val="26"/>
        </w:rPr>
        <w:t>provide</w:t>
      </w:r>
      <w:r w:rsidR="00424D41" w:rsidRPr="00424D41">
        <w:rPr>
          <w:b/>
          <w:bCs/>
          <w:sz w:val="26"/>
          <w:szCs w:val="26"/>
        </w:rPr>
        <w:t xml:space="preserve"> a short </w:t>
      </w:r>
      <w:proofErr w:type="gramStart"/>
      <w:r w:rsidR="00424D41" w:rsidRPr="00424D41">
        <w:rPr>
          <w:b/>
          <w:bCs/>
          <w:sz w:val="26"/>
          <w:szCs w:val="26"/>
        </w:rPr>
        <w:t>bulletin</w:t>
      </w:r>
      <w:r w:rsidR="00E8222C">
        <w:rPr>
          <w:b/>
          <w:bCs/>
          <w:sz w:val="26"/>
          <w:szCs w:val="26"/>
        </w:rPr>
        <w:t xml:space="preserve">  </w:t>
      </w:r>
      <w:r w:rsidR="00424D41" w:rsidRPr="00424D41">
        <w:rPr>
          <w:b/>
          <w:bCs/>
          <w:sz w:val="26"/>
          <w:szCs w:val="26"/>
        </w:rPr>
        <w:t>each</w:t>
      </w:r>
      <w:proofErr w:type="gramEnd"/>
      <w:r w:rsidR="00424D41" w:rsidRPr="00424D41">
        <w:rPr>
          <w:b/>
          <w:bCs/>
          <w:sz w:val="26"/>
          <w:szCs w:val="26"/>
        </w:rPr>
        <w:t xml:space="preserve"> week bringing together all we have learnt from the government on planning and managing in these uncertain t</w:t>
      </w:r>
      <w:r w:rsidR="00E8222C">
        <w:rPr>
          <w:b/>
          <w:bCs/>
          <w:sz w:val="26"/>
          <w:szCs w:val="26"/>
        </w:rPr>
        <w:t>imes</w:t>
      </w:r>
      <w:r w:rsidR="00424D41" w:rsidRPr="00424D41">
        <w:rPr>
          <w:b/>
          <w:bCs/>
          <w:sz w:val="26"/>
          <w:szCs w:val="26"/>
        </w:rPr>
        <w:t>.</w:t>
      </w:r>
    </w:p>
    <w:p w14:paraId="6F439955" w14:textId="3B76DF2D" w:rsidR="00424D41" w:rsidRDefault="00424D41" w:rsidP="007E299F">
      <w:pPr>
        <w:ind w:left="709"/>
        <w:rPr>
          <w:b/>
          <w:bCs/>
          <w:sz w:val="26"/>
          <w:szCs w:val="26"/>
        </w:rPr>
      </w:pPr>
      <w:r w:rsidRPr="00424D41">
        <w:rPr>
          <w:b/>
          <w:bCs/>
          <w:sz w:val="26"/>
          <w:szCs w:val="26"/>
        </w:rPr>
        <w:t xml:space="preserve">Keep an eye on the web site and our email campaigns for further </w:t>
      </w:r>
      <w:r w:rsidR="00184E0A">
        <w:rPr>
          <w:b/>
          <w:bCs/>
          <w:sz w:val="26"/>
          <w:szCs w:val="26"/>
        </w:rPr>
        <w:t>information about the impact Brexit may have on your area</w:t>
      </w:r>
      <w:r w:rsidR="004C70C1">
        <w:rPr>
          <w:b/>
          <w:bCs/>
          <w:sz w:val="26"/>
          <w:szCs w:val="26"/>
        </w:rPr>
        <w:t>.</w:t>
      </w:r>
    </w:p>
    <w:p w14:paraId="5A5C939E" w14:textId="1C0139B2" w:rsidR="007066EB" w:rsidRDefault="007066EB" w:rsidP="007E299F">
      <w:pPr>
        <w:ind w:left="709"/>
        <w:rPr>
          <w:b/>
          <w:bCs/>
          <w:sz w:val="26"/>
          <w:szCs w:val="26"/>
        </w:rPr>
      </w:pPr>
      <w:r w:rsidRPr="007066EB">
        <w:rPr>
          <w:b/>
          <w:bCs/>
          <w:sz w:val="26"/>
          <w:szCs w:val="26"/>
        </w:rPr>
        <w:t>From exceptionally bad weather, a fuel shortage or a pandemic, to financial or quality problems, there are many circumstances that can disrupt services provided by the independent and voluntary adult social care sector. This guide has been written to help providers develop plans to ensure continuity of care if a problem occurs</w:t>
      </w:r>
      <w:r>
        <w:rPr>
          <w:b/>
          <w:bCs/>
          <w:sz w:val="26"/>
          <w:szCs w:val="26"/>
        </w:rPr>
        <w:t xml:space="preserve"> in October.</w:t>
      </w:r>
    </w:p>
    <w:p w14:paraId="67C1C7BA" w14:textId="043DD29A" w:rsidR="004C70C1" w:rsidRPr="004C70C1" w:rsidRDefault="004C70C1" w:rsidP="007E299F">
      <w:pPr>
        <w:ind w:left="709"/>
        <w:rPr>
          <w:sz w:val="24"/>
          <w:szCs w:val="24"/>
        </w:rPr>
      </w:pPr>
      <w:r w:rsidRPr="004C70C1">
        <w:rPr>
          <w:b/>
          <w:bCs/>
          <w:sz w:val="24"/>
          <w:szCs w:val="24"/>
        </w:rPr>
        <w:t>Operation Yellowhammer</w:t>
      </w:r>
      <w:r w:rsidRPr="004C70C1">
        <w:rPr>
          <w:sz w:val="24"/>
          <w:szCs w:val="24"/>
        </w:rPr>
        <w:t xml:space="preserve"> is the codename used by the UK Treasury for cross-government civil contingency planning for the possibility of a no-deal Brexit. In the event of exit with no-deal, the UK's unilateral departure from the EU could disrupt, for an unknown duration, many aspects of the relationship between the UK and European Union, including financial transfers, movement of people, trade, customs and other regulations. This may affect all areas of your work.</w:t>
      </w:r>
    </w:p>
    <w:p w14:paraId="0D572BA2" w14:textId="39300659" w:rsidR="00D95300" w:rsidRPr="00D95300" w:rsidRDefault="00D95300" w:rsidP="007E299F">
      <w:pPr>
        <w:spacing w:before="100" w:beforeAutospacing="1" w:after="100" w:afterAutospacing="1" w:line="240" w:lineRule="auto"/>
        <w:ind w:left="709"/>
        <w:rPr>
          <w:rFonts w:eastAsia="Times New Roman" w:cs="Times New Roman"/>
          <w:sz w:val="24"/>
          <w:szCs w:val="24"/>
          <w:lang w:eastAsia="en-GB"/>
        </w:rPr>
      </w:pPr>
      <w:r w:rsidRPr="00D95300">
        <w:rPr>
          <w:rFonts w:eastAsia="Times New Roman" w:cs="Times New Roman"/>
          <w:b/>
          <w:bCs/>
          <w:sz w:val="24"/>
          <w:szCs w:val="24"/>
          <w:lang w:eastAsia="en-GB"/>
        </w:rPr>
        <w:t xml:space="preserve">What </w:t>
      </w:r>
      <w:r>
        <w:rPr>
          <w:rFonts w:eastAsia="Times New Roman" w:cs="Times New Roman"/>
          <w:b/>
          <w:bCs/>
          <w:sz w:val="24"/>
          <w:szCs w:val="24"/>
          <w:lang w:eastAsia="en-GB"/>
        </w:rPr>
        <w:t xml:space="preserve">the </w:t>
      </w:r>
      <w:r w:rsidRPr="00D95300">
        <w:rPr>
          <w:rFonts w:eastAsia="Times New Roman" w:cs="Times New Roman"/>
          <w:b/>
          <w:bCs/>
          <w:sz w:val="24"/>
          <w:szCs w:val="24"/>
          <w:lang w:eastAsia="en-GB"/>
        </w:rPr>
        <w:t>Yellowhammer document says</w:t>
      </w:r>
      <w:r>
        <w:rPr>
          <w:rFonts w:eastAsia="Times New Roman" w:cs="Times New Roman"/>
          <w:b/>
          <w:bCs/>
          <w:sz w:val="24"/>
          <w:szCs w:val="24"/>
          <w:lang w:eastAsia="en-GB"/>
        </w:rPr>
        <w:t xml:space="preserve"> about health care</w:t>
      </w:r>
      <w:r w:rsidRPr="00D95300">
        <w:rPr>
          <w:rFonts w:eastAsia="Times New Roman" w:cs="Times New Roman"/>
          <w:b/>
          <w:bCs/>
          <w:sz w:val="24"/>
          <w:szCs w:val="24"/>
          <w:lang w:eastAsia="en-GB"/>
        </w:rPr>
        <w:t>:</w:t>
      </w:r>
    </w:p>
    <w:p w14:paraId="6431AD09" w14:textId="77777777" w:rsidR="00D95300" w:rsidRPr="00D95300" w:rsidRDefault="00D95300" w:rsidP="007E299F">
      <w:pPr>
        <w:numPr>
          <w:ilvl w:val="0"/>
          <w:numId w:val="1"/>
        </w:numPr>
        <w:spacing w:before="100" w:beforeAutospacing="1" w:after="100" w:afterAutospacing="1" w:line="240" w:lineRule="auto"/>
        <w:ind w:left="709"/>
        <w:rPr>
          <w:rFonts w:eastAsia="Times New Roman" w:cs="Times New Roman"/>
          <w:sz w:val="24"/>
          <w:szCs w:val="24"/>
          <w:lang w:eastAsia="en-GB"/>
        </w:rPr>
      </w:pPr>
      <w:r w:rsidRPr="00D95300">
        <w:rPr>
          <w:rFonts w:eastAsia="Times New Roman" w:cs="Times New Roman"/>
          <w:sz w:val="24"/>
          <w:szCs w:val="24"/>
          <w:lang w:eastAsia="en-GB"/>
        </w:rPr>
        <w:t>Supply chains for medicines and medical products are "particularly vulnerable" to disruption at the Channel ports</w:t>
      </w:r>
    </w:p>
    <w:p w14:paraId="60C8122B" w14:textId="77777777" w:rsidR="00D95300" w:rsidRPr="00D95300" w:rsidRDefault="00D95300" w:rsidP="007E299F">
      <w:pPr>
        <w:numPr>
          <w:ilvl w:val="0"/>
          <w:numId w:val="1"/>
        </w:numPr>
        <w:spacing w:before="100" w:beforeAutospacing="1" w:after="100" w:afterAutospacing="1" w:line="240" w:lineRule="auto"/>
        <w:ind w:left="709"/>
        <w:rPr>
          <w:rFonts w:eastAsia="Times New Roman" w:cs="Times New Roman"/>
          <w:sz w:val="24"/>
          <w:szCs w:val="24"/>
          <w:lang w:eastAsia="en-GB"/>
        </w:rPr>
      </w:pPr>
      <w:r w:rsidRPr="00D95300">
        <w:rPr>
          <w:rFonts w:eastAsia="Times New Roman" w:cs="Times New Roman"/>
          <w:sz w:val="24"/>
          <w:szCs w:val="24"/>
          <w:lang w:eastAsia="en-GB"/>
        </w:rPr>
        <w:t>While some products can be stockpiled, others cannot because they have a short shelf life</w:t>
      </w:r>
    </w:p>
    <w:p w14:paraId="766DD95A" w14:textId="77777777" w:rsidR="00D95300" w:rsidRPr="00D95300" w:rsidRDefault="00D95300" w:rsidP="007E299F">
      <w:pPr>
        <w:numPr>
          <w:ilvl w:val="0"/>
          <w:numId w:val="1"/>
        </w:numPr>
        <w:spacing w:before="100" w:beforeAutospacing="1" w:after="100" w:afterAutospacing="1" w:line="240" w:lineRule="auto"/>
        <w:ind w:left="709"/>
        <w:rPr>
          <w:rFonts w:eastAsia="Times New Roman" w:cs="Times New Roman"/>
          <w:sz w:val="24"/>
          <w:szCs w:val="24"/>
          <w:lang w:eastAsia="en-GB"/>
        </w:rPr>
      </w:pPr>
      <w:r w:rsidRPr="00D95300">
        <w:rPr>
          <w:rFonts w:eastAsia="Times New Roman" w:cs="Times New Roman"/>
          <w:sz w:val="24"/>
          <w:szCs w:val="24"/>
          <w:lang w:eastAsia="en-GB"/>
        </w:rPr>
        <w:t>It will not be practical to stockpile products to cover expected delays of up to six months</w:t>
      </w:r>
    </w:p>
    <w:p w14:paraId="6F385AD0" w14:textId="0270637F" w:rsidR="00D95300" w:rsidRDefault="00D95300" w:rsidP="007E299F">
      <w:pPr>
        <w:numPr>
          <w:ilvl w:val="0"/>
          <w:numId w:val="1"/>
        </w:numPr>
        <w:spacing w:before="100" w:beforeAutospacing="1" w:after="100" w:afterAutospacing="1" w:line="240" w:lineRule="auto"/>
        <w:ind w:left="709"/>
        <w:rPr>
          <w:rFonts w:eastAsia="Times New Roman" w:cs="Times New Roman"/>
          <w:sz w:val="24"/>
          <w:szCs w:val="24"/>
          <w:lang w:eastAsia="en-GB"/>
        </w:rPr>
      </w:pPr>
      <w:r w:rsidRPr="00D95300">
        <w:rPr>
          <w:rFonts w:eastAsia="Times New Roman" w:cs="Times New Roman"/>
          <w:sz w:val="24"/>
          <w:szCs w:val="24"/>
          <w:lang w:eastAsia="en-GB"/>
        </w:rPr>
        <w:t xml:space="preserve">An increase in inflation would "significantly impact" adult social care providers and may lead to some failing, with smaller providers impacted within two-three months. </w:t>
      </w:r>
    </w:p>
    <w:p w14:paraId="2CA24AF5" w14:textId="77777777" w:rsidR="00D95300" w:rsidRPr="00D95300" w:rsidRDefault="00D95300" w:rsidP="007E299F">
      <w:pPr>
        <w:pStyle w:val="NormalWeb"/>
        <w:ind w:left="709"/>
        <w:rPr>
          <w:rFonts w:ascii="Calibri" w:hAnsi="Calibri"/>
        </w:rPr>
      </w:pPr>
      <w:r w:rsidRPr="00D95300">
        <w:rPr>
          <w:rStyle w:val="Strong"/>
          <w:rFonts w:ascii="Calibri" w:hAnsi="Calibri"/>
        </w:rPr>
        <w:lastRenderedPageBreak/>
        <w:t>What's being done:</w:t>
      </w:r>
    </w:p>
    <w:p w14:paraId="6922541F"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 xml:space="preserve">At the end of June, the Department of Health and Social Care (DHSC) started putting out contracts for freight, warehouse space and fridges. These will be used to stockpile medicines and fly in those which cannot be stored, like radioisotopes for cancer treatment. </w:t>
      </w:r>
    </w:p>
    <w:p w14:paraId="65020F2A"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Of the £2.1bn pledged for no-deal preparations, £434m has been set aside for this.</w:t>
      </w:r>
    </w:p>
    <w:p w14:paraId="1B0C994C"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That includes a £25m contract to set up an express freight service to bring in emergency medical supplies.</w:t>
      </w:r>
    </w:p>
    <w:p w14:paraId="4D61C6AF"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 xml:space="preserve">Ahead of the UK's original departure date of 29 March - then extended to 12 April - the DHSC said thousands of medicines had been analysed to work out what might be affected by supply disruption from the EU. </w:t>
      </w:r>
    </w:p>
    <w:p w14:paraId="3B100BC1"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 xml:space="preserve">Suppliers stockpiled an additional six weeks' worth of these drugs over and above the usual "buffer" stock. </w:t>
      </w:r>
    </w:p>
    <w:p w14:paraId="719FBF54" w14:textId="77777777" w:rsidR="00D95300" w:rsidRPr="00D95300" w:rsidRDefault="00D95300" w:rsidP="007E299F">
      <w:pPr>
        <w:pStyle w:val="NormalWeb"/>
        <w:numPr>
          <w:ilvl w:val="0"/>
          <w:numId w:val="1"/>
        </w:numPr>
        <w:ind w:left="709"/>
        <w:rPr>
          <w:rFonts w:ascii="Calibri" w:hAnsi="Calibri"/>
        </w:rPr>
      </w:pPr>
      <w:r w:rsidRPr="00D95300">
        <w:rPr>
          <w:rFonts w:ascii="Calibri" w:hAnsi="Calibri"/>
        </w:rPr>
        <w:t xml:space="preserve">This exercise is being repeated to ensure the department is "as prepared for leaving the EU without a deal in October as it was on 29 March and 12 April". </w:t>
      </w:r>
    </w:p>
    <w:p w14:paraId="187C0004" w14:textId="4EC40FDC" w:rsidR="00D95300" w:rsidRDefault="00D95300" w:rsidP="007E299F">
      <w:pPr>
        <w:pStyle w:val="NormalWeb"/>
        <w:numPr>
          <w:ilvl w:val="0"/>
          <w:numId w:val="1"/>
        </w:numPr>
        <w:ind w:left="709"/>
        <w:rPr>
          <w:rFonts w:ascii="Calibri" w:hAnsi="Calibri"/>
        </w:rPr>
      </w:pPr>
      <w:r w:rsidRPr="00D95300">
        <w:rPr>
          <w:rFonts w:ascii="Calibri" w:hAnsi="Calibri"/>
        </w:rPr>
        <w:t>On social care, the government website advises providers to draw up contingency plans and support EU staff who may be working for them.</w:t>
      </w:r>
    </w:p>
    <w:p w14:paraId="52A13B19" w14:textId="34C647D3" w:rsidR="00D95300" w:rsidRPr="00424D41" w:rsidRDefault="00D95300" w:rsidP="007E299F">
      <w:pPr>
        <w:pStyle w:val="NormalWeb"/>
        <w:ind w:left="709"/>
        <w:rPr>
          <w:rFonts w:ascii="Calibri" w:hAnsi="Calibri"/>
          <w:b/>
          <w:bCs/>
        </w:rPr>
      </w:pPr>
      <w:r w:rsidRPr="00424D41">
        <w:rPr>
          <w:rFonts w:ascii="Calibri" w:hAnsi="Calibri"/>
          <w:b/>
          <w:bCs/>
        </w:rPr>
        <w:t xml:space="preserve">What do you need to </w:t>
      </w:r>
      <w:proofErr w:type="gramStart"/>
      <w:r w:rsidRPr="00424D41">
        <w:rPr>
          <w:rFonts w:ascii="Calibri" w:hAnsi="Calibri"/>
          <w:b/>
          <w:bCs/>
        </w:rPr>
        <w:t>do:</w:t>
      </w:r>
      <w:proofErr w:type="gramEnd"/>
    </w:p>
    <w:p w14:paraId="352F71DA" w14:textId="1B389C45" w:rsidR="00424D41" w:rsidRDefault="008C1CC6" w:rsidP="007E299F">
      <w:pPr>
        <w:pStyle w:val="NormalWeb"/>
        <w:numPr>
          <w:ilvl w:val="0"/>
          <w:numId w:val="2"/>
        </w:numPr>
        <w:ind w:left="709"/>
        <w:rPr>
          <w:rFonts w:ascii="Calibri" w:hAnsi="Calibri"/>
        </w:rPr>
      </w:pPr>
      <w:r>
        <w:rPr>
          <w:rFonts w:ascii="Calibri" w:hAnsi="Calibri"/>
        </w:rPr>
        <w:t xml:space="preserve">Prepare your </w:t>
      </w:r>
      <w:r w:rsidR="004C70C1" w:rsidRPr="004C70C1">
        <w:rPr>
          <w:rFonts w:asciiTheme="minorHAnsi" w:hAnsiTheme="minorHAnsi"/>
          <w:bCs/>
        </w:rPr>
        <w:t xml:space="preserve">Eu </w:t>
      </w:r>
      <w:r w:rsidR="004C70C1">
        <w:rPr>
          <w:rFonts w:asciiTheme="minorHAnsi" w:hAnsiTheme="minorHAnsi"/>
          <w:bCs/>
        </w:rPr>
        <w:t>E</w:t>
      </w:r>
      <w:r w:rsidR="004C70C1" w:rsidRPr="004C70C1">
        <w:rPr>
          <w:rFonts w:asciiTheme="minorHAnsi" w:hAnsiTheme="minorHAnsi"/>
          <w:bCs/>
        </w:rPr>
        <w:t xml:space="preserve">xit </w:t>
      </w:r>
      <w:r w:rsidR="00963FE1">
        <w:rPr>
          <w:rFonts w:asciiTheme="minorHAnsi" w:hAnsiTheme="minorHAnsi"/>
          <w:bCs/>
        </w:rPr>
        <w:t>C</w:t>
      </w:r>
      <w:r w:rsidR="004C70C1" w:rsidRPr="004C70C1">
        <w:rPr>
          <w:rFonts w:asciiTheme="minorHAnsi" w:hAnsiTheme="minorHAnsi"/>
          <w:bCs/>
        </w:rPr>
        <w:t xml:space="preserve">ontingency </w:t>
      </w:r>
      <w:r w:rsidR="00963FE1">
        <w:rPr>
          <w:rFonts w:asciiTheme="minorHAnsi" w:hAnsiTheme="minorHAnsi"/>
          <w:bCs/>
        </w:rPr>
        <w:t>P</w:t>
      </w:r>
      <w:r w:rsidR="004C70C1" w:rsidRPr="004C70C1">
        <w:rPr>
          <w:rFonts w:asciiTheme="minorHAnsi" w:hAnsiTheme="minorHAnsi"/>
          <w:bCs/>
        </w:rPr>
        <w:t>lan</w:t>
      </w:r>
      <w:r w:rsidR="004C70C1">
        <w:rPr>
          <w:rFonts w:asciiTheme="minorHAnsi" w:hAnsiTheme="minorHAnsi"/>
          <w:bCs/>
        </w:rPr>
        <w:t>.</w:t>
      </w:r>
    </w:p>
    <w:p w14:paraId="1C016E78" w14:textId="77777777" w:rsidR="004C70C1" w:rsidRDefault="004C70C1" w:rsidP="007E299F">
      <w:pPr>
        <w:ind w:left="709"/>
        <w:jc w:val="center"/>
        <w:rPr>
          <w:b/>
          <w:sz w:val="32"/>
        </w:rPr>
      </w:pPr>
      <w:r>
        <w:rPr>
          <w:b/>
          <w:sz w:val="32"/>
        </w:rPr>
        <w:t>EU EXIT CONTINGENCY PLAN TEMPLATE FOR CARE PROVIDERS</w:t>
      </w:r>
    </w:p>
    <w:p w14:paraId="7DF7A1FE" w14:textId="77777777" w:rsidR="004C70C1" w:rsidRDefault="004C70C1" w:rsidP="007E299F">
      <w:pPr>
        <w:ind w:left="709"/>
        <w:jc w:val="both"/>
      </w:pPr>
      <w:r w:rsidRPr="00654693">
        <w:t xml:space="preserve">This brief template has been developed to support care providers in preparing Contingency Plans for care services as the UK prepares to exit the EU. </w:t>
      </w:r>
      <w:r>
        <w:t xml:space="preserve">It is a working document and not intended to be exhaustive. </w:t>
      </w:r>
      <w:r w:rsidRPr="00654693">
        <w:t xml:space="preserve">Its </w:t>
      </w:r>
      <w:r>
        <w:t xml:space="preserve">key </w:t>
      </w:r>
      <w:r w:rsidRPr="00654693">
        <w:t xml:space="preserve">purpose is to </w:t>
      </w:r>
      <w:r>
        <w:t xml:space="preserve">help providers </w:t>
      </w:r>
      <w:r w:rsidRPr="00654693">
        <w:t xml:space="preserve">ensure continuity </w:t>
      </w:r>
      <w:r>
        <w:t xml:space="preserve">in delivering </w:t>
      </w:r>
      <w:r w:rsidRPr="00654693">
        <w:t xml:space="preserve">care </w:t>
      </w:r>
      <w:r>
        <w:t xml:space="preserve">and support </w:t>
      </w:r>
      <w:r w:rsidRPr="00654693">
        <w:t xml:space="preserve">through a record of actions that may be necessary to deal with any possible disruption. </w:t>
      </w:r>
      <w:r w:rsidRPr="0028486D">
        <w:rPr>
          <w:b/>
        </w:rPr>
        <w:t>Quite simply a Contingency Plan involves preparing for a situation that may not happen but could have major impact if it did</w:t>
      </w:r>
      <w:r>
        <w:t xml:space="preserve">. Contingency planning is a crucial part of the routine Business Continuity Planning process. </w:t>
      </w:r>
    </w:p>
    <w:p w14:paraId="200E9A84" w14:textId="77777777" w:rsidR="004C70C1" w:rsidRPr="00654693" w:rsidRDefault="004C70C1" w:rsidP="007E299F">
      <w:pPr>
        <w:ind w:left="709"/>
        <w:jc w:val="both"/>
      </w:pPr>
      <w:r w:rsidRPr="00654693">
        <w:t xml:space="preserve">It is not possible to produce a single guide to cover the full range of different care and support services in adult social care and so this template is intended to be used simply as a framework to developing individual </w:t>
      </w:r>
      <w:r>
        <w:t xml:space="preserve">service Contingency Plans. </w:t>
      </w:r>
      <w:r w:rsidRPr="00654693">
        <w:t xml:space="preserve">Government advice has been clear that the UK should prepare for all scenarios relating to EU exit </w:t>
      </w:r>
      <w:r>
        <w:t>–</w:t>
      </w:r>
      <w:r w:rsidRPr="00654693">
        <w:t xml:space="preserve"> including the option of ‘no-deal’. Communications and information have been issued to businesses and the public</w:t>
      </w:r>
      <w:r>
        <w:t>,</w:t>
      </w:r>
      <w:r w:rsidRPr="00654693">
        <w:t xml:space="preserve"> by various Government departments</w:t>
      </w:r>
      <w:r>
        <w:t>,</w:t>
      </w:r>
      <w:r w:rsidRPr="00654693">
        <w:t xml:space="preserve"> in support of preparations for the UK exiting the EU. This information can be accessed at: </w:t>
      </w:r>
      <w:hyperlink r:id="rId9" w:history="1">
        <w:r w:rsidRPr="00654693">
          <w:rPr>
            <w:rStyle w:val="Hyperlink"/>
          </w:rPr>
          <w:t>https://www.gov.uk/government/brexit</w:t>
        </w:r>
      </w:hyperlink>
    </w:p>
    <w:p w14:paraId="6B4A7C90" w14:textId="77777777" w:rsidR="004C70C1" w:rsidRPr="00654693" w:rsidRDefault="004C70C1" w:rsidP="007E299F">
      <w:pPr>
        <w:ind w:left="709"/>
        <w:jc w:val="both"/>
        <w:rPr>
          <w:rFonts w:ascii="Calibri" w:eastAsia="Times New Roman" w:hAnsi="Calibri" w:cs="Times New Roman"/>
          <w:b/>
          <w:color w:val="000000"/>
          <w:lang w:eastAsia="en-GB"/>
        </w:rPr>
      </w:pPr>
      <w:r w:rsidRPr="00654693">
        <w:rPr>
          <w:rFonts w:ascii="Calibri" w:eastAsia="Times New Roman" w:hAnsi="Calibri" w:cs="Times New Roman"/>
          <w:b/>
          <w:color w:val="000000"/>
          <w:lang w:eastAsia="en-GB"/>
        </w:rPr>
        <w:t>Getting ready</w:t>
      </w:r>
    </w:p>
    <w:p w14:paraId="23998C83" w14:textId="6146285D" w:rsidR="004C70C1" w:rsidRPr="00654693" w:rsidRDefault="009B1735" w:rsidP="007E299F">
      <w:pPr>
        <w:ind w:left="709" w:right="-54"/>
        <w:jc w:val="both"/>
      </w:pPr>
      <w:r>
        <w:rPr>
          <w:rFonts w:ascii="Calibri" w:eastAsia="Times New Roman" w:hAnsi="Calibri" w:cs="Times New Roman"/>
          <w:color w:val="000000"/>
          <w:lang w:eastAsia="en-GB"/>
        </w:rPr>
        <w:t>The</w:t>
      </w:r>
      <w:r w:rsidR="004C70C1" w:rsidRPr="00654693">
        <w:rPr>
          <w:rFonts w:ascii="Calibri" w:eastAsia="Times New Roman" w:hAnsi="Calibri" w:cs="Times New Roman"/>
          <w:color w:val="000000"/>
          <w:lang w:eastAsia="en-GB"/>
        </w:rPr>
        <w:t xml:space="preserve"> </w:t>
      </w:r>
      <w:bookmarkStart w:id="0" w:name="_Hlk19527453"/>
      <w:r w:rsidR="004C70C1" w:rsidRPr="00654693">
        <w:rPr>
          <w:rFonts w:ascii="Calibri" w:eastAsia="Times New Roman" w:hAnsi="Calibri" w:cs="Times New Roman"/>
          <w:color w:val="000000"/>
          <w:lang w:eastAsia="en-GB"/>
        </w:rPr>
        <w:t xml:space="preserve">Local Resilience Forums </w:t>
      </w:r>
      <w:bookmarkEnd w:id="0"/>
      <w:r w:rsidR="004C70C1" w:rsidRPr="00654693">
        <w:rPr>
          <w:rFonts w:ascii="Calibri" w:eastAsia="Times New Roman" w:hAnsi="Calibri" w:cs="Times New Roman"/>
          <w:color w:val="000000"/>
          <w:lang w:eastAsia="en-GB"/>
        </w:rPr>
        <w:t>include</w:t>
      </w:r>
      <w:r>
        <w:rPr>
          <w:rFonts w:ascii="Calibri" w:eastAsia="Times New Roman" w:hAnsi="Calibri" w:cs="Times New Roman"/>
          <w:color w:val="000000"/>
          <w:lang w:eastAsia="en-GB"/>
        </w:rPr>
        <w:t>s</w:t>
      </w:r>
      <w:r w:rsidR="004C70C1" w:rsidRPr="00654693">
        <w:rPr>
          <w:rFonts w:ascii="Calibri" w:eastAsia="Times New Roman" w:hAnsi="Calibri" w:cs="Times New Roman"/>
          <w:color w:val="000000"/>
          <w:lang w:eastAsia="en-GB"/>
        </w:rPr>
        <w:t xml:space="preserve"> multi-agency representation as part of their efforts to coordinate local services. The healt</w:t>
      </w:r>
      <w:r w:rsidR="004C70C1">
        <w:rPr>
          <w:rFonts w:ascii="Calibri" w:eastAsia="Times New Roman" w:hAnsi="Calibri" w:cs="Times New Roman"/>
          <w:color w:val="000000"/>
          <w:lang w:eastAsia="en-GB"/>
        </w:rPr>
        <w:t>h and social care sector are a vital</w:t>
      </w:r>
      <w:r w:rsidR="004C70C1" w:rsidRPr="00654693">
        <w:rPr>
          <w:rFonts w:ascii="Calibri" w:eastAsia="Times New Roman" w:hAnsi="Calibri" w:cs="Times New Roman"/>
          <w:color w:val="000000"/>
          <w:lang w:eastAsia="en-GB"/>
        </w:rPr>
        <w:t xml:space="preserve"> part of this local infrastructure and you should check who is the Senior Responsible Officer for social care</w:t>
      </w:r>
      <w:r w:rsidR="004C70C1">
        <w:rPr>
          <w:rFonts w:ascii="Calibri" w:eastAsia="Times New Roman" w:hAnsi="Calibri" w:cs="Times New Roman"/>
          <w:color w:val="000000"/>
          <w:lang w:eastAsia="en-GB"/>
        </w:rPr>
        <w:t xml:space="preserve"> in your area</w:t>
      </w:r>
      <w:r w:rsidR="004C70C1" w:rsidRPr="00654693">
        <w:rPr>
          <w:rFonts w:ascii="Calibri" w:eastAsia="Times New Roman" w:hAnsi="Calibri" w:cs="Times New Roman"/>
          <w:color w:val="000000"/>
          <w:lang w:eastAsia="en-GB"/>
        </w:rPr>
        <w:t xml:space="preserve">. Consider </w:t>
      </w:r>
      <w:r w:rsidR="004C70C1">
        <w:rPr>
          <w:rFonts w:ascii="Calibri" w:eastAsia="Times New Roman" w:hAnsi="Calibri" w:cs="Times New Roman"/>
          <w:color w:val="000000"/>
          <w:lang w:eastAsia="en-GB"/>
        </w:rPr>
        <w:t>whether you can engage</w:t>
      </w:r>
      <w:r w:rsidR="004C70C1" w:rsidRPr="00654693">
        <w:rPr>
          <w:rFonts w:ascii="Calibri" w:eastAsia="Times New Roman" w:hAnsi="Calibri" w:cs="Times New Roman"/>
          <w:color w:val="000000"/>
          <w:lang w:eastAsia="en-GB"/>
        </w:rPr>
        <w:t xml:space="preserve"> </w:t>
      </w:r>
      <w:r w:rsidR="004C70C1" w:rsidRPr="00654693">
        <w:rPr>
          <w:rFonts w:ascii="Calibri" w:eastAsia="Times New Roman" w:hAnsi="Calibri" w:cs="Times New Roman"/>
          <w:color w:val="000000"/>
          <w:lang w:eastAsia="en-GB"/>
        </w:rPr>
        <w:lastRenderedPageBreak/>
        <w:t>with other local care providers and local authorities to share best practice, information and to collaborate where necessary. E</w:t>
      </w:r>
      <w:r w:rsidR="004C70C1" w:rsidRPr="00654693">
        <w:t xml:space="preserve">ncourage your staff to reassure people receiving care services that significant work has been, and continues to be done, to ensure as little disruption as possible when the UK exits the EU. Share relevant advice (for example on stockpiling or the EU settlement scheme) with people using care services and their relatives/friends.   </w:t>
      </w:r>
    </w:p>
    <w:p w14:paraId="54B03C27" w14:textId="77777777" w:rsidR="004C70C1" w:rsidRPr="008D420D" w:rsidRDefault="004C70C1" w:rsidP="007E299F">
      <w:pPr>
        <w:ind w:left="709" w:right="-54"/>
        <w:jc w:val="both"/>
        <w:rPr>
          <w:b/>
        </w:rPr>
      </w:pPr>
      <w:r w:rsidRPr="00654693">
        <w:t xml:space="preserve">Remember: Local Authority commissioners and CQC inspectors may request to see your EU Exit </w:t>
      </w:r>
      <w:r>
        <w:t>Contingency Plan</w:t>
      </w:r>
      <w:r w:rsidRPr="00654693">
        <w:t>.</w:t>
      </w:r>
      <w:r>
        <w:t xml:space="preserve"> </w:t>
      </w:r>
      <w:r>
        <w:rPr>
          <w:b/>
        </w:rPr>
        <w:t>Be ready</w:t>
      </w:r>
      <w:r w:rsidRPr="008D420D">
        <w:rPr>
          <w:b/>
        </w:rPr>
        <w:t xml:space="preserve"> to receive further guidance as we approach EU exit.</w:t>
      </w:r>
    </w:p>
    <w:p w14:paraId="080097B6" w14:textId="77777777" w:rsidR="004C70C1" w:rsidRPr="00654693" w:rsidRDefault="004C70C1" w:rsidP="007E299F">
      <w:pPr>
        <w:ind w:left="709"/>
        <w:jc w:val="center"/>
      </w:pPr>
      <w:r w:rsidRPr="00654693">
        <w:t>Level of potential risk:</w:t>
      </w:r>
    </w:p>
    <w:tbl>
      <w:tblPr>
        <w:tblStyle w:val="TableGrid"/>
        <w:tblW w:w="0" w:type="auto"/>
        <w:jc w:val="center"/>
        <w:tblLook w:val="04A0" w:firstRow="1" w:lastRow="0" w:firstColumn="1" w:lastColumn="0" w:noHBand="0" w:noVBand="1"/>
      </w:tblPr>
      <w:tblGrid>
        <w:gridCol w:w="1301"/>
        <w:gridCol w:w="1585"/>
        <w:gridCol w:w="1525"/>
      </w:tblGrid>
      <w:tr w:rsidR="004C70C1" w14:paraId="2E2E8BE6" w14:textId="77777777" w:rsidTr="000F0B59">
        <w:trPr>
          <w:trHeight w:val="242"/>
          <w:jc w:val="center"/>
        </w:trPr>
        <w:tc>
          <w:tcPr>
            <w:tcW w:w="1165" w:type="dxa"/>
          </w:tcPr>
          <w:p w14:paraId="19C8D80B" w14:textId="77777777" w:rsidR="004C70C1" w:rsidRDefault="004C70C1" w:rsidP="007E299F">
            <w:pPr>
              <w:ind w:left="709"/>
              <w:jc w:val="both"/>
            </w:pPr>
            <w:r w:rsidRPr="00654693">
              <w:rPr>
                <w:color w:val="000000" w:themeColor="text1"/>
                <w:highlight w:val="red"/>
              </w:rPr>
              <w:t>Red</w:t>
            </w:r>
          </w:p>
        </w:tc>
        <w:tc>
          <w:tcPr>
            <w:tcW w:w="1482" w:type="dxa"/>
          </w:tcPr>
          <w:p w14:paraId="4914D6F1" w14:textId="77777777" w:rsidR="004C70C1" w:rsidRDefault="004C70C1" w:rsidP="007E299F">
            <w:pPr>
              <w:ind w:left="709"/>
              <w:jc w:val="both"/>
            </w:pPr>
            <w:r w:rsidRPr="00654693">
              <w:rPr>
                <w:color w:val="000000" w:themeColor="text1"/>
                <w:highlight w:val="yellow"/>
              </w:rPr>
              <w:t>Amber</w:t>
            </w:r>
          </w:p>
        </w:tc>
        <w:tc>
          <w:tcPr>
            <w:tcW w:w="1308" w:type="dxa"/>
          </w:tcPr>
          <w:p w14:paraId="3F86B730" w14:textId="77777777" w:rsidR="004C70C1" w:rsidRDefault="004C70C1" w:rsidP="007E299F">
            <w:pPr>
              <w:ind w:left="709"/>
              <w:jc w:val="both"/>
            </w:pPr>
            <w:r w:rsidRPr="00654693">
              <w:rPr>
                <w:highlight w:val="green"/>
              </w:rPr>
              <w:t>Green</w:t>
            </w:r>
          </w:p>
        </w:tc>
      </w:tr>
    </w:tbl>
    <w:p w14:paraId="4AB9B9C4" w14:textId="77777777" w:rsidR="004C70C1" w:rsidRPr="00654693" w:rsidRDefault="004C70C1" w:rsidP="007E299F">
      <w:pPr>
        <w:ind w:left="709"/>
      </w:pPr>
    </w:p>
    <w:tbl>
      <w:tblPr>
        <w:tblStyle w:val="TableGrid"/>
        <w:tblW w:w="15223" w:type="dxa"/>
        <w:tblInd w:w="534" w:type="dxa"/>
        <w:tblLook w:val="04A0" w:firstRow="1" w:lastRow="0" w:firstColumn="1" w:lastColumn="0" w:noHBand="0" w:noVBand="1"/>
      </w:tblPr>
      <w:tblGrid>
        <w:gridCol w:w="1548"/>
        <w:gridCol w:w="1964"/>
        <w:gridCol w:w="1065"/>
        <w:gridCol w:w="3673"/>
        <w:gridCol w:w="3411"/>
        <w:gridCol w:w="1651"/>
        <w:gridCol w:w="1911"/>
      </w:tblGrid>
      <w:tr w:rsidR="007066EB" w:rsidRPr="008F725D" w14:paraId="2541F527" w14:textId="77777777" w:rsidTr="00963FE1">
        <w:trPr>
          <w:trHeight w:val="845"/>
        </w:trPr>
        <w:tc>
          <w:tcPr>
            <w:tcW w:w="1548" w:type="dxa"/>
          </w:tcPr>
          <w:p w14:paraId="52186B6B" w14:textId="77777777" w:rsidR="004C70C1" w:rsidRPr="008F725D" w:rsidRDefault="004C70C1" w:rsidP="00963FE1">
            <w:pPr>
              <w:rPr>
                <w:b/>
                <w:sz w:val="22"/>
                <w:szCs w:val="22"/>
              </w:rPr>
            </w:pPr>
            <w:r w:rsidRPr="008F725D">
              <w:rPr>
                <w:b/>
                <w:sz w:val="22"/>
                <w:szCs w:val="22"/>
              </w:rPr>
              <w:t>Key theme</w:t>
            </w:r>
          </w:p>
        </w:tc>
        <w:tc>
          <w:tcPr>
            <w:tcW w:w="1964" w:type="dxa"/>
          </w:tcPr>
          <w:p w14:paraId="0DDDD233" w14:textId="77777777" w:rsidR="004C70C1" w:rsidRPr="008F725D" w:rsidRDefault="004C70C1" w:rsidP="007E299F">
            <w:pPr>
              <w:ind w:left="709"/>
              <w:rPr>
                <w:b/>
                <w:sz w:val="22"/>
                <w:szCs w:val="22"/>
              </w:rPr>
            </w:pPr>
            <w:r w:rsidRPr="008F725D">
              <w:rPr>
                <w:b/>
                <w:sz w:val="22"/>
                <w:szCs w:val="22"/>
              </w:rPr>
              <w:t>Business issue</w:t>
            </w:r>
          </w:p>
        </w:tc>
        <w:tc>
          <w:tcPr>
            <w:tcW w:w="1065" w:type="dxa"/>
          </w:tcPr>
          <w:p w14:paraId="11D59857" w14:textId="77777777" w:rsidR="004C70C1" w:rsidRPr="008F725D" w:rsidRDefault="004C70C1" w:rsidP="007E299F">
            <w:pPr>
              <w:ind w:left="114"/>
              <w:rPr>
                <w:b/>
                <w:sz w:val="22"/>
                <w:szCs w:val="22"/>
              </w:rPr>
            </w:pPr>
            <w:r w:rsidRPr="008F725D">
              <w:rPr>
                <w:b/>
                <w:sz w:val="22"/>
                <w:szCs w:val="22"/>
              </w:rPr>
              <w:t>Level of risk</w:t>
            </w:r>
          </w:p>
        </w:tc>
        <w:tc>
          <w:tcPr>
            <w:tcW w:w="3673" w:type="dxa"/>
          </w:tcPr>
          <w:p w14:paraId="4A4202B8" w14:textId="77777777" w:rsidR="004C70C1" w:rsidRPr="008F725D" w:rsidRDefault="004C70C1" w:rsidP="007E299F">
            <w:pPr>
              <w:ind w:left="709"/>
              <w:rPr>
                <w:rFonts w:cstheme="minorHAnsi"/>
                <w:b/>
                <w:sz w:val="22"/>
                <w:szCs w:val="22"/>
              </w:rPr>
            </w:pPr>
            <w:r w:rsidRPr="008F725D">
              <w:rPr>
                <w:rFonts w:cstheme="minorHAnsi"/>
                <w:b/>
                <w:sz w:val="22"/>
                <w:szCs w:val="22"/>
              </w:rPr>
              <w:t>Mitigating Actions</w:t>
            </w:r>
          </w:p>
        </w:tc>
        <w:tc>
          <w:tcPr>
            <w:tcW w:w="3411" w:type="dxa"/>
          </w:tcPr>
          <w:p w14:paraId="616F20C3" w14:textId="77777777" w:rsidR="004C70C1" w:rsidRPr="008F725D" w:rsidRDefault="004C70C1" w:rsidP="007E299F">
            <w:pPr>
              <w:ind w:left="709"/>
              <w:rPr>
                <w:b/>
                <w:sz w:val="22"/>
                <w:szCs w:val="22"/>
              </w:rPr>
            </w:pPr>
            <w:r w:rsidRPr="008F725D">
              <w:rPr>
                <w:b/>
                <w:sz w:val="22"/>
                <w:szCs w:val="22"/>
              </w:rPr>
              <w:t>Action Required</w:t>
            </w:r>
          </w:p>
        </w:tc>
        <w:tc>
          <w:tcPr>
            <w:tcW w:w="1651" w:type="dxa"/>
          </w:tcPr>
          <w:p w14:paraId="7F48C376" w14:textId="77777777" w:rsidR="004C70C1" w:rsidRPr="008F725D" w:rsidRDefault="004C70C1" w:rsidP="007E299F">
            <w:pPr>
              <w:ind w:left="379"/>
              <w:rPr>
                <w:b/>
                <w:sz w:val="22"/>
                <w:szCs w:val="22"/>
              </w:rPr>
            </w:pPr>
            <w:r w:rsidRPr="008F725D">
              <w:rPr>
                <w:b/>
                <w:sz w:val="22"/>
                <w:szCs w:val="22"/>
              </w:rPr>
              <w:t>Person responsible</w:t>
            </w:r>
          </w:p>
        </w:tc>
        <w:tc>
          <w:tcPr>
            <w:tcW w:w="1911" w:type="dxa"/>
          </w:tcPr>
          <w:p w14:paraId="257F71EA" w14:textId="23248633" w:rsidR="004C70C1" w:rsidRPr="008F725D" w:rsidRDefault="004C70C1" w:rsidP="007E299F">
            <w:pPr>
              <w:ind w:left="160"/>
              <w:rPr>
                <w:b/>
                <w:sz w:val="22"/>
                <w:szCs w:val="22"/>
              </w:rPr>
            </w:pPr>
            <w:r w:rsidRPr="008F725D">
              <w:rPr>
                <w:b/>
                <w:sz w:val="22"/>
                <w:szCs w:val="22"/>
              </w:rPr>
              <w:t>Completion date</w:t>
            </w:r>
          </w:p>
        </w:tc>
      </w:tr>
      <w:tr w:rsidR="007066EB" w:rsidRPr="008F725D" w14:paraId="34C609E5" w14:textId="77777777" w:rsidTr="00963FE1">
        <w:tc>
          <w:tcPr>
            <w:tcW w:w="1548" w:type="dxa"/>
          </w:tcPr>
          <w:p w14:paraId="6E669628" w14:textId="77777777" w:rsidR="004C70C1" w:rsidRPr="008F725D" w:rsidRDefault="004C70C1" w:rsidP="007E299F">
            <w:pPr>
              <w:ind w:left="709"/>
              <w:rPr>
                <w:sz w:val="22"/>
                <w:szCs w:val="22"/>
              </w:rPr>
            </w:pPr>
          </w:p>
          <w:p w14:paraId="709B7730" w14:textId="77777777" w:rsidR="004C70C1" w:rsidRPr="008F725D" w:rsidRDefault="004C70C1" w:rsidP="007066EB">
            <w:pPr>
              <w:rPr>
                <w:b/>
                <w:sz w:val="22"/>
                <w:szCs w:val="22"/>
              </w:rPr>
            </w:pPr>
            <w:r w:rsidRPr="008F725D">
              <w:rPr>
                <w:b/>
                <w:sz w:val="22"/>
                <w:szCs w:val="22"/>
              </w:rPr>
              <w:t xml:space="preserve">Workforce issues </w:t>
            </w:r>
          </w:p>
          <w:p w14:paraId="1738539E" w14:textId="77777777" w:rsidR="004C70C1" w:rsidRPr="008F725D" w:rsidRDefault="004C70C1" w:rsidP="007E299F">
            <w:pPr>
              <w:ind w:left="709"/>
              <w:rPr>
                <w:sz w:val="22"/>
                <w:szCs w:val="22"/>
              </w:rPr>
            </w:pPr>
          </w:p>
        </w:tc>
        <w:tc>
          <w:tcPr>
            <w:tcW w:w="1964" w:type="dxa"/>
          </w:tcPr>
          <w:p w14:paraId="66EC8C85" w14:textId="77777777" w:rsidR="004C70C1" w:rsidRPr="008F725D" w:rsidRDefault="004C70C1" w:rsidP="007E299F">
            <w:pPr>
              <w:rPr>
                <w:sz w:val="22"/>
                <w:szCs w:val="22"/>
              </w:rPr>
            </w:pPr>
            <w:r w:rsidRPr="008F725D">
              <w:rPr>
                <w:sz w:val="22"/>
                <w:szCs w:val="22"/>
              </w:rPr>
              <w:t>Potential for disruption caused by departure of staff or difficulty in recruitment.</w:t>
            </w:r>
          </w:p>
        </w:tc>
        <w:tc>
          <w:tcPr>
            <w:tcW w:w="1065" w:type="dxa"/>
          </w:tcPr>
          <w:p w14:paraId="1BD7A608" w14:textId="10FE16A5" w:rsidR="004C70C1" w:rsidRPr="008F725D" w:rsidRDefault="004C70C1" w:rsidP="007E299F">
            <w:pPr>
              <w:ind w:left="99"/>
              <w:rPr>
                <w:sz w:val="22"/>
                <w:szCs w:val="22"/>
              </w:rPr>
            </w:pPr>
          </w:p>
        </w:tc>
        <w:tc>
          <w:tcPr>
            <w:tcW w:w="3673" w:type="dxa"/>
          </w:tcPr>
          <w:p w14:paraId="3B0940F8" w14:textId="7B66A106" w:rsidR="004C70C1" w:rsidRPr="008F725D" w:rsidRDefault="004C70C1" w:rsidP="00CC14BC">
            <w:pPr>
              <w:pStyle w:val="ListBullet"/>
              <w:ind w:left="310" w:hanging="127"/>
              <w:rPr>
                <w:sz w:val="22"/>
                <w:szCs w:val="22"/>
              </w:rPr>
            </w:pPr>
            <w:r w:rsidRPr="008F725D">
              <w:rPr>
                <w:sz w:val="22"/>
                <w:szCs w:val="22"/>
              </w:rPr>
              <w:t>EU Settlement Scheme – ensure relevant staff are supported to apply</w:t>
            </w:r>
            <w:r w:rsidR="002D4C43" w:rsidRPr="00983F5F">
              <w:rPr>
                <w:rFonts w:ascii="Calibri" w:eastAsia="Times New Roman" w:hAnsi="Calibri" w:cs="Times New Roman"/>
                <w:lang w:eastAsia="en-GB"/>
              </w:rPr>
              <w:t xml:space="preserve"> further details can be found at: </w:t>
            </w:r>
            <w:hyperlink r:id="rId10" w:history="1">
              <w:r w:rsidR="002D4C43" w:rsidRPr="00983F5F">
                <w:rPr>
                  <w:rFonts w:ascii="Calibri" w:eastAsia="Times New Roman" w:hAnsi="Calibri" w:cs="Times New Roman"/>
                  <w:color w:val="0000FF" w:themeColor="hyperlink"/>
                  <w:u w:val="single"/>
                  <w:lang w:eastAsia="en-GB"/>
                </w:rPr>
                <w:t>https://www.gov.uk/settled-status-eu-citizens-families</w:t>
              </w:r>
            </w:hyperlink>
          </w:p>
          <w:p w14:paraId="6D0E4F8B" w14:textId="77777777" w:rsidR="004C70C1" w:rsidRPr="008F725D" w:rsidRDefault="004C70C1" w:rsidP="00CC14BC">
            <w:pPr>
              <w:pStyle w:val="ListBullet"/>
              <w:ind w:left="310" w:hanging="127"/>
              <w:rPr>
                <w:sz w:val="22"/>
                <w:szCs w:val="22"/>
              </w:rPr>
            </w:pPr>
            <w:r w:rsidRPr="008F725D">
              <w:rPr>
                <w:sz w:val="22"/>
                <w:szCs w:val="22"/>
              </w:rPr>
              <w:t>Provide advice and reassurance to staff</w:t>
            </w:r>
          </w:p>
          <w:p w14:paraId="590E8573" w14:textId="77777777" w:rsidR="004C70C1" w:rsidRPr="008F725D" w:rsidRDefault="004C70C1" w:rsidP="00CC14BC">
            <w:pPr>
              <w:pStyle w:val="ListBullet"/>
              <w:ind w:left="310" w:hanging="127"/>
              <w:rPr>
                <w:sz w:val="22"/>
                <w:szCs w:val="22"/>
              </w:rPr>
            </w:pPr>
            <w:r w:rsidRPr="008F725D">
              <w:rPr>
                <w:sz w:val="22"/>
                <w:szCs w:val="22"/>
              </w:rPr>
              <w:t>Complete Skills for Care Workforce National Minimum Data Set for Social Care</w:t>
            </w:r>
          </w:p>
          <w:p w14:paraId="1D2273A8" w14:textId="77777777" w:rsidR="004C70C1" w:rsidRPr="008F725D" w:rsidRDefault="004C70C1" w:rsidP="00CC14BC">
            <w:pPr>
              <w:pStyle w:val="ListBullet"/>
              <w:ind w:left="310" w:hanging="127"/>
              <w:rPr>
                <w:sz w:val="22"/>
                <w:szCs w:val="22"/>
              </w:rPr>
            </w:pPr>
            <w:r w:rsidRPr="008F725D">
              <w:rPr>
                <w:sz w:val="22"/>
                <w:szCs w:val="22"/>
              </w:rPr>
              <w:t>Identify critical staffing levels, understand individual staffing restrictions and ensure necessary contact details are in one place</w:t>
            </w:r>
          </w:p>
        </w:tc>
        <w:tc>
          <w:tcPr>
            <w:tcW w:w="3411" w:type="dxa"/>
          </w:tcPr>
          <w:p w14:paraId="2DBE49D7" w14:textId="11C6AE31" w:rsidR="002D4C43" w:rsidRDefault="004C70C1" w:rsidP="007E299F">
            <w:pPr>
              <w:pStyle w:val="ListBullet"/>
              <w:numPr>
                <w:ilvl w:val="0"/>
                <w:numId w:val="0"/>
              </w:numPr>
              <w:ind w:left="73"/>
            </w:pPr>
            <w:r w:rsidRPr="008F725D">
              <w:t xml:space="preserve">Assess how many members of staff, in each service, are likely to be affected by EU exit and ensure that associated risks are identified so that appropriate action can be taken to mitigate risk. </w:t>
            </w:r>
          </w:p>
          <w:p w14:paraId="0E15361E" w14:textId="5EC9C5BC" w:rsidR="00E8222C" w:rsidRDefault="00E8222C" w:rsidP="007E299F">
            <w:pPr>
              <w:pStyle w:val="ListBullet"/>
              <w:numPr>
                <w:ilvl w:val="0"/>
                <w:numId w:val="0"/>
              </w:numPr>
              <w:ind w:left="73"/>
            </w:pPr>
          </w:p>
          <w:p w14:paraId="7DB396E8" w14:textId="035050FD" w:rsidR="00E8222C" w:rsidRPr="00D21C99" w:rsidRDefault="00E8222C" w:rsidP="007E299F">
            <w:pPr>
              <w:pStyle w:val="ListBullet"/>
              <w:numPr>
                <w:ilvl w:val="0"/>
                <w:numId w:val="0"/>
              </w:numPr>
              <w:ind w:left="73"/>
              <w:rPr>
                <w:color w:val="FF0000"/>
              </w:rPr>
            </w:pPr>
            <w:r w:rsidRPr="00D21C99">
              <w:rPr>
                <w:color w:val="FF0000"/>
              </w:rPr>
              <w:t xml:space="preserve">Where providers use agency </w:t>
            </w:r>
            <w:r w:rsidR="00D21C99" w:rsidRPr="00D21C99">
              <w:rPr>
                <w:color w:val="FF0000"/>
              </w:rPr>
              <w:t>staff,</w:t>
            </w:r>
            <w:r w:rsidRPr="00D21C99">
              <w:rPr>
                <w:color w:val="FF0000"/>
              </w:rPr>
              <w:t xml:space="preserve"> </w:t>
            </w:r>
            <w:r w:rsidR="00D21C99" w:rsidRPr="00D21C99">
              <w:rPr>
                <w:color w:val="FF0000"/>
              </w:rPr>
              <w:t>contact</w:t>
            </w:r>
            <w:r w:rsidRPr="00D21C99">
              <w:rPr>
                <w:color w:val="FF0000"/>
              </w:rPr>
              <w:t xml:space="preserve"> agencies in advance to ascertain any risks associated with changing staff supply capability</w:t>
            </w:r>
            <w:r w:rsidR="00D21C99" w:rsidRPr="00D21C99">
              <w:rPr>
                <w:color w:val="FF0000"/>
              </w:rPr>
              <w:t xml:space="preserve"> and identify contingencies/different ways of deploying staff to maintain safety.</w:t>
            </w:r>
          </w:p>
          <w:p w14:paraId="4DBBB691" w14:textId="35342F51" w:rsidR="004C70C1" w:rsidRPr="002D4C43" w:rsidRDefault="004C70C1" w:rsidP="007E299F">
            <w:pPr>
              <w:pStyle w:val="ListBullet"/>
              <w:numPr>
                <w:ilvl w:val="0"/>
                <w:numId w:val="0"/>
              </w:numPr>
              <w:ind w:left="357"/>
            </w:pPr>
          </w:p>
        </w:tc>
        <w:tc>
          <w:tcPr>
            <w:tcW w:w="1651" w:type="dxa"/>
          </w:tcPr>
          <w:p w14:paraId="3557BDE8" w14:textId="77777777" w:rsidR="004C70C1" w:rsidRPr="008F725D" w:rsidRDefault="004C70C1" w:rsidP="007E299F">
            <w:pPr>
              <w:ind w:left="709"/>
              <w:rPr>
                <w:sz w:val="22"/>
                <w:szCs w:val="22"/>
              </w:rPr>
            </w:pPr>
            <w:bookmarkStart w:id="1" w:name="_GoBack"/>
            <w:bookmarkEnd w:id="1"/>
          </w:p>
        </w:tc>
        <w:tc>
          <w:tcPr>
            <w:tcW w:w="1911" w:type="dxa"/>
          </w:tcPr>
          <w:p w14:paraId="021D2FF9" w14:textId="77777777" w:rsidR="004C70C1" w:rsidRPr="008F725D" w:rsidRDefault="004C70C1" w:rsidP="007E299F">
            <w:pPr>
              <w:ind w:left="709"/>
              <w:rPr>
                <w:sz w:val="22"/>
                <w:szCs w:val="22"/>
              </w:rPr>
            </w:pPr>
          </w:p>
        </w:tc>
      </w:tr>
      <w:tr w:rsidR="007066EB" w:rsidRPr="008F725D" w14:paraId="4C42FEBB" w14:textId="77777777" w:rsidTr="00963FE1">
        <w:tc>
          <w:tcPr>
            <w:tcW w:w="1548" w:type="dxa"/>
          </w:tcPr>
          <w:p w14:paraId="2C767701" w14:textId="77777777" w:rsidR="004C70C1" w:rsidRPr="008F725D" w:rsidRDefault="004C70C1" w:rsidP="007066EB">
            <w:pPr>
              <w:rPr>
                <w:b/>
                <w:sz w:val="22"/>
                <w:szCs w:val="22"/>
              </w:rPr>
            </w:pPr>
            <w:r w:rsidRPr="008F725D">
              <w:rPr>
                <w:b/>
                <w:sz w:val="22"/>
                <w:szCs w:val="22"/>
              </w:rPr>
              <w:t>Supply of medicines</w:t>
            </w:r>
          </w:p>
          <w:p w14:paraId="57C01F8D" w14:textId="77777777" w:rsidR="004C70C1" w:rsidRPr="008F725D" w:rsidRDefault="004C70C1" w:rsidP="007E299F">
            <w:pPr>
              <w:ind w:left="709"/>
              <w:rPr>
                <w:sz w:val="22"/>
                <w:szCs w:val="22"/>
              </w:rPr>
            </w:pPr>
          </w:p>
        </w:tc>
        <w:tc>
          <w:tcPr>
            <w:tcW w:w="1964" w:type="dxa"/>
          </w:tcPr>
          <w:p w14:paraId="00875B4A" w14:textId="77777777" w:rsidR="004C70C1" w:rsidRPr="008F725D" w:rsidRDefault="004C70C1" w:rsidP="007E299F">
            <w:pPr>
              <w:ind w:left="94"/>
              <w:rPr>
                <w:sz w:val="22"/>
                <w:szCs w:val="22"/>
              </w:rPr>
            </w:pPr>
            <w:r w:rsidRPr="008F725D">
              <w:rPr>
                <w:sz w:val="22"/>
                <w:szCs w:val="22"/>
              </w:rPr>
              <w:lastRenderedPageBreak/>
              <w:t xml:space="preserve">Potential for disruption in the </w:t>
            </w:r>
            <w:r w:rsidRPr="008F725D">
              <w:rPr>
                <w:sz w:val="22"/>
                <w:szCs w:val="22"/>
              </w:rPr>
              <w:lastRenderedPageBreak/>
              <w:t>supply of vital medicines</w:t>
            </w:r>
          </w:p>
        </w:tc>
        <w:tc>
          <w:tcPr>
            <w:tcW w:w="1065" w:type="dxa"/>
          </w:tcPr>
          <w:p w14:paraId="63C5CB0C" w14:textId="77777777" w:rsidR="004C70C1" w:rsidRPr="008F725D" w:rsidRDefault="004C70C1" w:rsidP="007E299F">
            <w:pPr>
              <w:ind w:left="709"/>
              <w:rPr>
                <w:sz w:val="22"/>
                <w:szCs w:val="22"/>
              </w:rPr>
            </w:pPr>
          </w:p>
        </w:tc>
        <w:tc>
          <w:tcPr>
            <w:tcW w:w="3673" w:type="dxa"/>
          </w:tcPr>
          <w:p w14:paraId="360B68CC" w14:textId="77777777" w:rsidR="004C70C1" w:rsidRPr="008F725D" w:rsidRDefault="004C70C1" w:rsidP="00CC14BC">
            <w:pPr>
              <w:pStyle w:val="ListBullet"/>
              <w:ind w:left="310" w:hanging="127"/>
              <w:rPr>
                <w:sz w:val="22"/>
                <w:szCs w:val="22"/>
              </w:rPr>
            </w:pPr>
            <w:r w:rsidRPr="008F725D">
              <w:rPr>
                <w:sz w:val="22"/>
                <w:szCs w:val="22"/>
              </w:rPr>
              <w:t>Avoid stockpiling but consider mitigations such as earlier ordering</w:t>
            </w:r>
          </w:p>
          <w:p w14:paraId="6EC02C74" w14:textId="77777777" w:rsidR="004C70C1" w:rsidRPr="008F725D" w:rsidRDefault="004C70C1" w:rsidP="00CC14BC">
            <w:pPr>
              <w:pStyle w:val="ListBullet"/>
              <w:numPr>
                <w:ilvl w:val="0"/>
                <w:numId w:val="0"/>
              </w:numPr>
              <w:ind w:left="310" w:hanging="127"/>
              <w:rPr>
                <w:sz w:val="22"/>
                <w:szCs w:val="22"/>
              </w:rPr>
            </w:pPr>
          </w:p>
        </w:tc>
        <w:tc>
          <w:tcPr>
            <w:tcW w:w="3411" w:type="dxa"/>
          </w:tcPr>
          <w:p w14:paraId="5D764FE1" w14:textId="6D9522C3" w:rsidR="004C70C1" w:rsidRPr="008F725D" w:rsidRDefault="004C70C1" w:rsidP="007E299F">
            <w:pPr>
              <w:ind w:left="73"/>
              <w:rPr>
                <w:sz w:val="22"/>
                <w:szCs w:val="22"/>
              </w:rPr>
            </w:pPr>
            <w:r w:rsidRPr="008F725D">
              <w:rPr>
                <w:sz w:val="22"/>
                <w:szCs w:val="22"/>
              </w:rPr>
              <w:lastRenderedPageBreak/>
              <w:t xml:space="preserve">Contact your supplier to seek reassurance that arrangements </w:t>
            </w:r>
            <w:r w:rsidRPr="008F725D">
              <w:rPr>
                <w:sz w:val="22"/>
                <w:szCs w:val="22"/>
              </w:rPr>
              <w:lastRenderedPageBreak/>
              <w:t xml:space="preserve">are in place to supply medicines in accordance with DHSC guidance of 6 weeks. Report issues to your community pharmacist. If this does not satisfactorily resolve the </w:t>
            </w:r>
            <w:r w:rsidR="007066EB" w:rsidRPr="008F725D">
              <w:rPr>
                <w:sz w:val="22"/>
                <w:szCs w:val="22"/>
              </w:rPr>
              <w:t>issue,</w:t>
            </w:r>
            <w:r w:rsidRPr="008F725D">
              <w:rPr>
                <w:sz w:val="22"/>
                <w:szCs w:val="22"/>
              </w:rPr>
              <w:t xml:space="preserve"> then contact the NSDR centre. </w:t>
            </w:r>
          </w:p>
          <w:p w14:paraId="1EE360C1" w14:textId="77777777" w:rsidR="004C70C1" w:rsidRPr="008F725D" w:rsidRDefault="004C70C1" w:rsidP="007E299F">
            <w:pPr>
              <w:ind w:left="709"/>
              <w:rPr>
                <w:b/>
                <w:sz w:val="22"/>
                <w:szCs w:val="22"/>
              </w:rPr>
            </w:pPr>
          </w:p>
        </w:tc>
        <w:tc>
          <w:tcPr>
            <w:tcW w:w="1651" w:type="dxa"/>
          </w:tcPr>
          <w:p w14:paraId="140382D0" w14:textId="77777777" w:rsidR="004C70C1" w:rsidRPr="008F725D" w:rsidRDefault="004C70C1" w:rsidP="007E299F">
            <w:pPr>
              <w:ind w:left="709"/>
              <w:rPr>
                <w:sz w:val="22"/>
                <w:szCs w:val="22"/>
              </w:rPr>
            </w:pPr>
          </w:p>
        </w:tc>
        <w:tc>
          <w:tcPr>
            <w:tcW w:w="1911" w:type="dxa"/>
          </w:tcPr>
          <w:p w14:paraId="65BE2FF7" w14:textId="77777777" w:rsidR="004C70C1" w:rsidRPr="008F725D" w:rsidRDefault="004C70C1" w:rsidP="007E299F">
            <w:pPr>
              <w:ind w:left="709"/>
              <w:rPr>
                <w:sz w:val="22"/>
                <w:szCs w:val="22"/>
              </w:rPr>
            </w:pPr>
          </w:p>
        </w:tc>
      </w:tr>
      <w:tr w:rsidR="007066EB" w:rsidRPr="008F725D" w14:paraId="03197201" w14:textId="77777777" w:rsidTr="00963FE1">
        <w:tc>
          <w:tcPr>
            <w:tcW w:w="1548" w:type="dxa"/>
          </w:tcPr>
          <w:p w14:paraId="41332A45" w14:textId="77777777" w:rsidR="004C70C1" w:rsidRPr="008F725D" w:rsidRDefault="004C70C1" w:rsidP="00503D38">
            <w:pPr>
              <w:rPr>
                <w:b/>
                <w:sz w:val="22"/>
                <w:szCs w:val="22"/>
              </w:rPr>
            </w:pPr>
            <w:r w:rsidRPr="008F725D">
              <w:rPr>
                <w:b/>
                <w:sz w:val="22"/>
                <w:szCs w:val="22"/>
              </w:rPr>
              <w:t xml:space="preserve">Supply of medical devices and </w:t>
            </w:r>
            <w:proofErr w:type="gramStart"/>
            <w:r w:rsidRPr="008F725D">
              <w:rPr>
                <w:b/>
                <w:sz w:val="22"/>
                <w:szCs w:val="22"/>
              </w:rPr>
              <w:t>clinical  consumables</w:t>
            </w:r>
            <w:proofErr w:type="gramEnd"/>
            <w:r w:rsidRPr="008F725D">
              <w:rPr>
                <w:b/>
                <w:sz w:val="22"/>
                <w:szCs w:val="22"/>
              </w:rPr>
              <w:t xml:space="preserve"> </w:t>
            </w:r>
          </w:p>
          <w:p w14:paraId="62E966D7" w14:textId="77777777" w:rsidR="004C70C1" w:rsidRPr="008F725D" w:rsidRDefault="004C70C1" w:rsidP="007E299F">
            <w:pPr>
              <w:ind w:left="709"/>
              <w:rPr>
                <w:sz w:val="22"/>
                <w:szCs w:val="22"/>
              </w:rPr>
            </w:pPr>
          </w:p>
          <w:p w14:paraId="2F1B34C7" w14:textId="77777777" w:rsidR="004C70C1" w:rsidRPr="008F725D" w:rsidRDefault="004C70C1" w:rsidP="007E299F">
            <w:pPr>
              <w:ind w:left="709"/>
              <w:rPr>
                <w:sz w:val="22"/>
                <w:szCs w:val="22"/>
              </w:rPr>
            </w:pPr>
          </w:p>
        </w:tc>
        <w:tc>
          <w:tcPr>
            <w:tcW w:w="1964" w:type="dxa"/>
          </w:tcPr>
          <w:p w14:paraId="41C474A2" w14:textId="77777777" w:rsidR="004C70C1" w:rsidRPr="008F725D" w:rsidRDefault="004C70C1" w:rsidP="007E299F">
            <w:pPr>
              <w:ind w:left="94"/>
              <w:rPr>
                <w:sz w:val="22"/>
                <w:szCs w:val="22"/>
              </w:rPr>
            </w:pPr>
            <w:r w:rsidRPr="008F725D">
              <w:rPr>
                <w:sz w:val="22"/>
                <w:szCs w:val="22"/>
              </w:rPr>
              <w:t>Potential for disruption in supply</w:t>
            </w:r>
          </w:p>
        </w:tc>
        <w:tc>
          <w:tcPr>
            <w:tcW w:w="1065" w:type="dxa"/>
          </w:tcPr>
          <w:p w14:paraId="28BB497D" w14:textId="77777777" w:rsidR="004C70C1" w:rsidRPr="008F725D" w:rsidRDefault="004C70C1" w:rsidP="007E299F">
            <w:pPr>
              <w:ind w:left="709"/>
              <w:rPr>
                <w:sz w:val="22"/>
                <w:szCs w:val="22"/>
              </w:rPr>
            </w:pPr>
          </w:p>
        </w:tc>
        <w:tc>
          <w:tcPr>
            <w:tcW w:w="3673" w:type="dxa"/>
          </w:tcPr>
          <w:p w14:paraId="33FF03B2" w14:textId="77777777" w:rsidR="004C70C1" w:rsidRPr="008F725D" w:rsidRDefault="004C70C1" w:rsidP="00CC14BC">
            <w:pPr>
              <w:pStyle w:val="ListBullet"/>
              <w:ind w:left="310" w:hanging="127"/>
              <w:rPr>
                <w:sz w:val="22"/>
                <w:szCs w:val="22"/>
              </w:rPr>
            </w:pPr>
            <w:r w:rsidRPr="008F725D">
              <w:rPr>
                <w:sz w:val="22"/>
                <w:szCs w:val="22"/>
              </w:rPr>
              <w:t>Avoid stockpiling but consider mitigations such as earlier ordering</w:t>
            </w:r>
          </w:p>
          <w:p w14:paraId="593DA1D9" w14:textId="77777777" w:rsidR="004C70C1" w:rsidRPr="008F725D" w:rsidRDefault="004C70C1" w:rsidP="00CC14BC">
            <w:pPr>
              <w:pStyle w:val="ListBullet"/>
              <w:ind w:left="310" w:hanging="127"/>
              <w:rPr>
                <w:sz w:val="22"/>
                <w:szCs w:val="22"/>
              </w:rPr>
            </w:pPr>
            <w:r w:rsidRPr="008F725D">
              <w:rPr>
                <w:sz w:val="22"/>
                <w:szCs w:val="22"/>
              </w:rPr>
              <w:t xml:space="preserve">Monitor stock positions and escalate issues at the earliest opportunity </w:t>
            </w:r>
          </w:p>
          <w:p w14:paraId="2C76E809" w14:textId="77777777" w:rsidR="004C70C1" w:rsidRPr="008F725D" w:rsidRDefault="004C70C1" w:rsidP="00CC14BC">
            <w:pPr>
              <w:pStyle w:val="ListBullet"/>
              <w:numPr>
                <w:ilvl w:val="0"/>
                <w:numId w:val="0"/>
              </w:numPr>
              <w:ind w:left="310" w:hanging="127"/>
              <w:rPr>
                <w:sz w:val="22"/>
                <w:szCs w:val="22"/>
              </w:rPr>
            </w:pPr>
          </w:p>
        </w:tc>
        <w:tc>
          <w:tcPr>
            <w:tcW w:w="3411" w:type="dxa"/>
          </w:tcPr>
          <w:p w14:paraId="68B071D1" w14:textId="77777777" w:rsidR="004C70C1" w:rsidRPr="008F725D" w:rsidRDefault="004C70C1" w:rsidP="007066EB">
            <w:pPr>
              <w:ind w:left="82"/>
              <w:rPr>
                <w:sz w:val="22"/>
                <w:szCs w:val="22"/>
              </w:rPr>
            </w:pPr>
            <w:r w:rsidRPr="008F725D">
              <w:rPr>
                <w:sz w:val="22"/>
                <w:szCs w:val="22"/>
              </w:rPr>
              <w:t>Check with your supplier.</w:t>
            </w:r>
          </w:p>
          <w:p w14:paraId="540B42E1" w14:textId="77777777" w:rsidR="004C70C1" w:rsidRDefault="004C70C1" w:rsidP="007066EB">
            <w:pPr>
              <w:ind w:left="82"/>
              <w:rPr>
                <w:sz w:val="22"/>
                <w:szCs w:val="22"/>
              </w:rPr>
            </w:pPr>
            <w:r w:rsidRPr="008F725D">
              <w:rPr>
                <w:sz w:val="22"/>
                <w:szCs w:val="22"/>
              </w:rPr>
              <w:t>Consider if alternative products may be available.</w:t>
            </w:r>
          </w:p>
          <w:p w14:paraId="4F11976A" w14:textId="77777777" w:rsidR="004C70C1" w:rsidRDefault="004C70C1" w:rsidP="007066EB">
            <w:pPr>
              <w:ind w:left="82"/>
              <w:rPr>
                <w:sz w:val="22"/>
                <w:szCs w:val="22"/>
              </w:rPr>
            </w:pPr>
            <w:r>
              <w:rPr>
                <w:sz w:val="22"/>
                <w:szCs w:val="22"/>
              </w:rPr>
              <w:t>Identify an alternative local supplier in the event of shortages.</w:t>
            </w:r>
          </w:p>
          <w:p w14:paraId="70EAAA00" w14:textId="77777777" w:rsidR="004C70C1" w:rsidRPr="008F725D" w:rsidRDefault="004C70C1" w:rsidP="007066EB">
            <w:pPr>
              <w:ind w:left="82"/>
              <w:rPr>
                <w:sz w:val="22"/>
                <w:szCs w:val="22"/>
              </w:rPr>
            </w:pPr>
            <w:r>
              <w:rPr>
                <w:sz w:val="22"/>
                <w:szCs w:val="22"/>
              </w:rPr>
              <w:t>It is essential that ASC providers have continuity of supply for End of Life Care medicines and supplies – identify an alternative supplier and make contact, as necessary, with your hospital pharmacy or NHS supplies.</w:t>
            </w:r>
          </w:p>
          <w:p w14:paraId="7588C2CC" w14:textId="77777777" w:rsidR="004C70C1" w:rsidRPr="008F725D" w:rsidRDefault="004C70C1" w:rsidP="007066EB">
            <w:pPr>
              <w:ind w:left="82"/>
              <w:rPr>
                <w:sz w:val="22"/>
                <w:szCs w:val="22"/>
              </w:rPr>
            </w:pPr>
            <w:r w:rsidRPr="008F725D">
              <w:rPr>
                <w:sz w:val="22"/>
                <w:szCs w:val="22"/>
              </w:rPr>
              <w:t>If you know it’s supplied by the NHS Supply Chain, check with NHS Supply Chain Contact. If this does not satisfactorily resolve the issue, then contact the NSDR centre.</w:t>
            </w:r>
          </w:p>
        </w:tc>
        <w:tc>
          <w:tcPr>
            <w:tcW w:w="1651" w:type="dxa"/>
          </w:tcPr>
          <w:p w14:paraId="1AA6159B" w14:textId="77777777" w:rsidR="004C70C1" w:rsidRPr="008F725D" w:rsidRDefault="004C70C1" w:rsidP="007E299F">
            <w:pPr>
              <w:ind w:left="709"/>
              <w:rPr>
                <w:sz w:val="22"/>
                <w:szCs w:val="22"/>
              </w:rPr>
            </w:pPr>
          </w:p>
        </w:tc>
        <w:tc>
          <w:tcPr>
            <w:tcW w:w="1911" w:type="dxa"/>
          </w:tcPr>
          <w:p w14:paraId="70979AC5" w14:textId="77777777" w:rsidR="004C70C1" w:rsidRPr="008F725D" w:rsidRDefault="004C70C1" w:rsidP="007E299F">
            <w:pPr>
              <w:ind w:left="709"/>
              <w:rPr>
                <w:sz w:val="22"/>
                <w:szCs w:val="22"/>
              </w:rPr>
            </w:pPr>
          </w:p>
        </w:tc>
      </w:tr>
      <w:tr w:rsidR="007066EB" w:rsidRPr="008F725D" w14:paraId="0D1BEDCB" w14:textId="77777777" w:rsidTr="00963FE1">
        <w:tc>
          <w:tcPr>
            <w:tcW w:w="1548" w:type="dxa"/>
          </w:tcPr>
          <w:p w14:paraId="02373C5A" w14:textId="77777777" w:rsidR="004C70C1" w:rsidRPr="008F725D" w:rsidRDefault="004C70C1" w:rsidP="007E299F">
            <w:pPr>
              <w:rPr>
                <w:b/>
                <w:sz w:val="22"/>
                <w:szCs w:val="22"/>
              </w:rPr>
            </w:pPr>
            <w:r w:rsidRPr="008F725D">
              <w:rPr>
                <w:b/>
                <w:sz w:val="22"/>
                <w:szCs w:val="22"/>
              </w:rPr>
              <w:t>Supply of non-clinical consumables, goods and services</w:t>
            </w:r>
          </w:p>
          <w:p w14:paraId="1C12EDB7" w14:textId="77777777" w:rsidR="004C70C1" w:rsidRPr="008F725D" w:rsidRDefault="004C70C1" w:rsidP="007E299F">
            <w:pPr>
              <w:ind w:left="709"/>
              <w:rPr>
                <w:sz w:val="22"/>
                <w:szCs w:val="22"/>
              </w:rPr>
            </w:pPr>
          </w:p>
        </w:tc>
        <w:tc>
          <w:tcPr>
            <w:tcW w:w="1964" w:type="dxa"/>
          </w:tcPr>
          <w:p w14:paraId="1D36459E" w14:textId="77777777" w:rsidR="004C70C1" w:rsidRDefault="004C70C1" w:rsidP="00CC14BC">
            <w:pPr>
              <w:rPr>
                <w:sz w:val="22"/>
                <w:szCs w:val="22"/>
              </w:rPr>
            </w:pPr>
            <w:r w:rsidRPr="008F725D">
              <w:rPr>
                <w:sz w:val="22"/>
                <w:szCs w:val="22"/>
              </w:rPr>
              <w:t>Potential for disruption in supply</w:t>
            </w:r>
          </w:p>
          <w:p w14:paraId="46197CD0" w14:textId="77777777" w:rsidR="004C70C1" w:rsidRPr="008F725D" w:rsidRDefault="004C70C1" w:rsidP="00CC14BC">
            <w:pPr>
              <w:rPr>
                <w:sz w:val="22"/>
                <w:szCs w:val="22"/>
              </w:rPr>
            </w:pPr>
            <w:r>
              <w:rPr>
                <w:sz w:val="22"/>
                <w:szCs w:val="22"/>
              </w:rPr>
              <w:t>(N.B. This may also include access to fuel or transport)</w:t>
            </w:r>
          </w:p>
        </w:tc>
        <w:tc>
          <w:tcPr>
            <w:tcW w:w="1065" w:type="dxa"/>
          </w:tcPr>
          <w:p w14:paraId="5AD61D2A" w14:textId="77777777" w:rsidR="004C70C1" w:rsidRPr="008F725D" w:rsidRDefault="004C70C1" w:rsidP="007E299F">
            <w:pPr>
              <w:ind w:left="709"/>
              <w:rPr>
                <w:sz w:val="22"/>
                <w:szCs w:val="22"/>
              </w:rPr>
            </w:pPr>
          </w:p>
        </w:tc>
        <w:tc>
          <w:tcPr>
            <w:tcW w:w="3673" w:type="dxa"/>
          </w:tcPr>
          <w:p w14:paraId="6329B9C9" w14:textId="77777777" w:rsidR="004C70C1" w:rsidRPr="008F725D" w:rsidRDefault="004C70C1" w:rsidP="00CC14BC">
            <w:pPr>
              <w:pStyle w:val="ListBullet"/>
              <w:ind w:left="310" w:hanging="127"/>
              <w:rPr>
                <w:sz w:val="22"/>
                <w:szCs w:val="22"/>
              </w:rPr>
            </w:pPr>
            <w:r w:rsidRPr="008F725D">
              <w:rPr>
                <w:sz w:val="22"/>
                <w:szCs w:val="22"/>
              </w:rPr>
              <w:t>Avoid stockpiling but consider mitigations such as earlier ordering</w:t>
            </w:r>
          </w:p>
          <w:p w14:paraId="52C93294" w14:textId="77777777" w:rsidR="004C70C1" w:rsidRPr="008F725D" w:rsidRDefault="004C70C1" w:rsidP="00CC14BC">
            <w:pPr>
              <w:pStyle w:val="ListBullet"/>
              <w:ind w:left="310" w:hanging="127"/>
              <w:rPr>
                <w:sz w:val="22"/>
                <w:szCs w:val="22"/>
              </w:rPr>
            </w:pPr>
            <w:r w:rsidRPr="008F725D">
              <w:rPr>
                <w:sz w:val="22"/>
                <w:szCs w:val="22"/>
              </w:rPr>
              <w:t xml:space="preserve">Identify risk areas in relation to essential supplies </w:t>
            </w:r>
          </w:p>
          <w:p w14:paraId="0BA63A73" w14:textId="77777777" w:rsidR="004C70C1" w:rsidRPr="008F725D" w:rsidRDefault="004C70C1" w:rsidP="00CC14BC">
            <w:pPr>
              <w:pStyle w:val="ListBullet"/>
              <w:ind w:left="310" w:hanging="127"/>
              <w:rPr>
                <w:sz w:val="22"/>
                <w:szCs w:val="22"/>
              </w:rPr>
            </w:pPr>
            <w:r w:rsidRPr="008F725D">
              <w:rPr>
                <w:sz w:val="22"/>
                <w:szCs w:val="22"/>
              </w:rPr>
              <w:t>Review contracts and engage with suppliers to identify any potential EU Exit issues</w:t>
            </w:r>
          </w:p>
        </w:tc>
        <w:tc>
          <w:tcPr>
            <w:tcW w:w="3411" w:type="dxa"/>
          </w:tcPr>
          <w:p w14:paraId="031D09B9" w14:textId="77777777" w:rsidR="004C70C1" w:rsidRDefault="004C70C1" w:rsidP="007066EB">
            <w:pPr>
              <w:rPr>
                <w:sz w:val="22"/>
                <w:szCs w:val="22"/>
              </w:rPr>
            </w:pPr>
            <w:r w:rsidRPr="008F725D">
              <w:rPr>
                <w:sz w:val="22"/>
                <w:szCs w:val="22"/>
              </w:rPr>
              <w:t xml:space="preserve">Check with your suppliers to ensure that they have the necessary arrangements in place to ensure continued supplies beyond a six-week timeframe. </w:t>
            </w:r>
          </w:p>
          <w:p w14:paraId="0C0ABDAD" w14:textId="77777777" w:rsidR="004C70C1" w:rsidRPr="008F725D" w:rsidRDefault="004C70C1" w:rsidP="007066EB">
            <w:pPr>
              <w:rPr>
                <w:sz w:val="22"/>
                <w:szCs w:val="22"/>
              </w:rPr>
            </w:pPr>
            <w:r>
              <w:rPr>
                <w:sz w:val="22"/>
                <w:szCs w:val="22"/>
              </w:rPr>
              <w:t>Arrangements made to ensure that ASC keyworkers can access petrol and transport.</w:t>
            </w:r>
          </w:p>
          <w:p w14:paraId="131B438F" w14:textId="77777777" w:rsidR="004C70C1" w:rsidRPr="008F725D" w:rsidRDefault="004C70C1" w:rsidP="007E299F">
            <w:pPr>
              <w:ind w:left="709"/>
              <w:rPr>
                <w:sz w:val="22"/>
                <w:szCs w:val="22"/>
              </w:rPr>
            </w:pPr>
          </w:p>
        </w:tc>
        <w:tc>
          <w:tcPr>
            <w:tcW w:w="1651" w:type="dxa"/>
          </w:tcPr>
          <w:p w14:paraId="17FB87C7" w14:textId="77777777" w:rsidR="004C70C1" w:rsidRPr="008F725D" w:rsidRDefault="004C70C1" w:rsidP="007E299F">
            <w:pPr>
              <w:ind w:left="709"/>
              <w:rPr>
                <w:sz w:val="22"/>
                <w:szCs w:val="22"/>
              </w:rPr>
            </w:pPr>
          </w:p>
        </w:tc>
        <w:tc>
          <w:tcPr>
            <w:tcW w:w="1911" w:type="dxa"/>
          </w:tcPr>
          <w:p w14:paraId="2794A8C9" w14:textId="77777777" w:rsidR="004C70C1" w:rsidRPr="008F725D" w:rsidRDefault="004C70C1" w:rsidP="007E299F">
            <w:pPr>
              <w:ind w:left="709"/>
              <w:rPr>
                <w:sz w:val="22"/>
                <w:szCs w:val="22"/>
              </w:rPr>
            </w:pPr>
          </w:p>
        </w:tc>
      </w:tr>
      <w:tr w:rsidR="007066EB" w:rsidRPr="008F725D" w14:paraId="03AFDC2A" w14:textId="77777777" w:rsidTr="00963FE1">
        <w:tc>
          <w:tcPr>
            <w:tcW w:w="1548" w:type="dxa"/>
          </w:tcPr>
          <w:p w14:paraId="037E3A83" w14:textId="77777777" w:rsidR="004C70C1" w:rsidRPr="008F725D" w:rsidRDefault="004C70C1" w:rsidP="007E299F">
            <w:pPr>
              <w:rPr>
                <w:b/>
                <w:sz w:val="22"/>
                <w:szCs w:val="22"/>
              </w:rPr>
            </w:pPr>
            <w:r w:rsidRPr="008F725D">
              <w:rPr>
                <w:b/>
                <w:sz w:val="22"/>
                <w:szCs w:val="22"/>
              </w:rPr>
              <w:t xml:space="preserve">Data sharing, processing </w:t>
            </w:r>
            <w:r w:rsidRPr="008F725D">
              <w:rPr>
                <w:b/>
                <w:sz w:val="22"/>
                <w:szCs w:val="22"/>
              </w:rPr>
              <w:lastRenderedPageBreak/>
              <w:t>and access</w:t>
            </w:r>
          </w:p>
          <w:p w14:paraId="1C976070" w14:textId="77777777" w:rsidR="004C70C1" w:rsidRPr="008F725D" w:rsidRDefault="004C70C1" w:rsidP="007E299F">
            <w:pPr>
              <w:ind w:left="709"/>
              <w:rPr>
                <w:sz w:val="22"/>
                <w:szCs w:val="22"/>
              </w:rPr>
            </w:pPr>
          </w:p>
        </w:tc>
        <w:tc>
          <w:tcPr>
            <w:tcW w:w="1964" w:type="dxa"/>
          </w:tcPr>
          <w:p w14:paraId="765B644A" w14:textId="77777777" w:rsidR="004C70C1" w:rsidRPr="008F725D" w:rsidRDefault="004C70C1" w:rsidP="007E299F">
            <w:pPr>
              <w:rPr>
                <w:sz w:val="22"/>
                <w:szCs w:val="22"/>
              </w:rPr>
            </w:pPr>
            <w:r w:rsidRPr="008F725D">
              <w:rPr>
                <w:sz w:val="22"/>
                <w:szCs w:val="22"/>
              </w:rPr>
              <w:lastRenderedPageBreak/>
              <w:t xml:space="preserve">Potential for data transfer or access </w:t>
            </w:r>
            <w:r w:rsidRPr="008F725D">
              <w:rPr>
                <w:sz w:val="22"/>
                <w:szCs w:val="22"/>
              </w:rPr>
              <w:lastRenderedPageBreak/>
              <w:t>to be interrupted</w:t>
            </w:r>
          </w:p>
        </w:tc>
        <w:tc>
          <w:tcPr>
            <w:tcW w:w="1065" w:type="dxa"/>
          </w:tcPr>
          <w:p w14:paraId="2B236AE6" w14:textId="77777777" w:rsidR="004C70C1" w:rsidRPr="008F725D" w:rsidRDefault="004C70C1" w:rsidP="007E299F">
            <w:pPr>
              <w:ind w:left="709"/>
              <w:rPr>
                <w:sz w:val="22"/>
                <w:szCs w:val="22"/>
              </w:rPr>
            </w:pPr>
          </w:p>
        </w:tc>
        <w:tc>
          <w:tcPr>
            <w:tcW w:w="3673" w:type="dxa"/>
          </w:tcPr>
          <w:p w14:paraId="0BA4F82E" w14:textId="4EBB0972" w:rsidR="007066EB" w:rsidRDefault="004C70C1" w:rsidP="00CC14BC">
            <w:pPr>
              <w:pStyle w:val="ListBullet"/>
              <w:ind w:left="310" w:hanging="127"/>
              <w:rPr>
                <w:sz w:val="22"/>
                <w:szCs w:val="22"/>
              </w:rPr>
            </w:pPr>
            <w:r w:rsidRPr="008F725D">
              <w:rPr>
                <w:sz w:val="22"/>
                <w:szCs w:val="22"/>
              </w:rPr>
              <w:t xml:space="preserve">Consider </w:t>
            </w:r>
            <w:r w:rsidR="007066EB" w:rsidRPr="007066EB">
              <w:rPr>
                <w:sz w:val="22"/>
                <w:szCs w:val="22"/>
              </w:rPr>
              <w:t xml:space="preserve">Information Commissioner's Office </w:t>
            </w:r>
            <w:r w:rsidRPr="008F725D">
              <w:rPr>
                <w:sz w:val="22"/>
                <w:szCs w:val="22"/>
              </w:rPr>
              <w:t xml:space="preserve">advice </w:t>
            </w:r>
            <w:hyperlink r:id="rId11" w:history="1">
              <w:r w:rsidR="007066EB" w:rsidRPr="00424D11">
                <w:rPr>
                  <w:rStyle w:val="Hyperlink"/>
                  <w:sz w:val="22"/>
                  <w:szCs w:val="22"/>
                </w:rPr>
                <w:t>www.ico.org.uk</w:t>
              </w:r>
            </w:hyperlink>
          </w:p>
          <w:p w14:paraId="08C8CD1A" w14:textId="1D8B7F72" w:rsidR="004C70C1" w:rsidRPr="008F725D" w:rsidRDefault="007066EB" w:rsidP="007066EB">
            <w:pPr>
              <w:pStyle w:val="ListBullet"/>
              <w:numPr>
                <w:ilvl w:val="0"/>
                <w:numId w:val="0"/>
              </w:numPr>
              <w:ind w:left="183"/>
              <w:rPr>
                <w:sz w:val="22"/>
                <w:szCs w:val="22"/>
              </w:rPr>
            </w:pPr>
            <w:r w:rsidRPr="007066EB">
              <w:rPr>
                <w:sz w:val="22"/>
                <w:szCs w:val="22"/>
              </w:rPr>
              <w:t xml:space="preserve"> </w:t>
            </w:r>
            <w:r w:rsidR="004C70C1" w:rsidRPr="008F725D">
              <w:rPr>
                <w:sz w:val="22"/>
                <w:szCs w:val="22"/>
              </w:rPr>
              <w:t>and actions for data sharing</w:t>
            </w:r>
          </w:p>
        </w:tc>
        <w:tc>
          <w:tcPr>
            <w:tcW w:w="3411" w:type="dxa"/>
          </w:tcPr>
          <w:p w14:paraId="1A71263B" w14:textId="67ABEE5A" w:rsidR="004C70C1" w:rsidRPr="008F725D" w:rsidRDefault="004C70C1" w:rsidP="007066EB">
            <w:pPr>
              <w:rPr>
                <w:sz w:val="22"/>
                <w:szCs w:val="22"/>
              </w:rPr>
            </w:pPr>
            <w:r w:rsidRPr="008F725D">
              <w:rPr>
                <w:sz w:val="22"/>
                <w:szCs w:val="22"/>
              </w:rPr>
              <w:lastRenderedPageBreak/>
              <w:t xml:space="preserve">Carry out an internal assessment on risks associated with data </w:t>
            </w:r>
            <w:r w:rsidRPr="008F725D">
              <w:rPr>
                <w:sz w:val="22"/>
                <w:szCs w:val="22"/>
              </w:rPr>
              <w:lastRenderedPageBreak/>
              <w:t>sharing</w:t>
            </w:r>
            <w:r w:rsidR="007066EB">
              <w:rPr>
                <w:sz w:val="22"/>
                <w:szCs w:val="22"/>
              </w:rPr>
              <w:t>.</w:t>
            </w:r>
          </w:p>
        </w:tc>
        <w:tc>
          <w:tcPr>
            <w:tcW w:w="1651" w:type="dxa"/>
          </w:tcPr>
          <w:p w14:paraId="01D4595D" w14:textId="77777777" w:rsidR="004C70C1" w:rsidRPr="008F725D" w:rsidRDefault="004C70C1" w:rsidP="007E299F">
            <w:pPr>
              <w:ind w:left="709"/>
              <w:rPr>
                <w:sz w:val="22"/>
                <w:szCs w:val="22"/>
              </w:rPr>
            </w:pPr>
          </w:p>
        </w:tc>
        <w:tc>
          <w:tcPr>
            <w:tcW w:w="1911" w:type="dxa"/>
          </w:tcPr>
          <w:p w14:paraId="4A74F38A" w14:textId="77777777" w:rsidR="004C70C1" w:rsidRPr="008F725D" w:rsidRDefault="004C70C1" w:rsidP="007E299F">
            <w:pPr>
              <w:ind w:left="709"/>
              <w:rPr>
                <w:sz w:val="22"/>
                <w:szCs w:val="22"/>
              </w:rPr>
            </w:pPr>
          </w:p>
        </w:tc>
      </w:tr>
    </w:tbl>
    <w:p w14:paraId="0C9DF860" w14:textId="77777777" w:rsidR="004C70C1" w:rsidRPr="008F725D" w:rsidRDefault="004C70C1" w:rsidP="007E299F">
      <w:pPr>
        <w:ind w:left="709"/>
      </w:pPr>
      <w:r>
        <w:br w:type="page"/>
      </w:r>
    </w:p>
    <w:p w14:paraId="0F881202" w14:textId="77777777" w:rsidR="00963FE1" w:rsidRDefault="00963FE1" w:rsidP="007066EB">
      <w:pPr>
        <w:ind w:left="709"/>
        <w:jc w:val="center"/>
        <w:rPr>
          <w:b/>
          <w:sz w:val="28"/>
          <w:szCs w:val="28"/>
        </w:rPr>
      </w:pPr>
    </w:p>
    <w:p w14:paraId="0871EE96" w14:textId="270896A5" w:rsidR="004C70C1" w:rsidRPr="007066EB" w:rsidRDefault="004C70C1" w:rsidP="007066EB">
      <w:pPr>
        <w:ind w:left="709"/>
        <w:jc w:val="center"/>
        <w:rPr>
          <w:b/>
          <w:sz w:val="28"/>
          <w:szCs w:val="28"/>
        </w:rPr>
      </w:pPr>
      <w:r w:rsidRPr="00654693">
        <w:rPr>
          <w:b/>
          <w:sz w:val="28"/>
          <w:szCs w:val="28"/>
        </w:rPr>
        <w:t>CHECKLIST FOR EU EXIT CONTINGENCY PLANS</w:t>
      </w:r>
    </w:p>
    <w:tbl>
      <w:tblPr>
        <w:tblStyle w:val="TableGrid"/>
        <w:tblW w:w="14992" w:type="dxa"/>
        <w:tblInd w:w="817" w:type="dxa"/>
        <w:tblLook w:val="04A0" w:firstRow="1" w:lastRow="0" w:firstColumn="1" w:lastColumn="0" w:noHBand="0" w:noVBand="1"/>
      </w:tblPr>
      <w:tblGrid>
        <w:gridCol w:w="12611"/>
        <w:gridCol w:w="2381"/>
      </w:tblGrid>
      <w:tr w:rsidR="004C70C1" w:rsidRPr="008F725D" w14:paraId="446BE606" w14:textId="77777777" w:rsidTr="007066EB">
        <w:trPr>
          <w:trHeight w:val="261"/>
        </w:trPr>
        <w:tc>
          <w:tcPr>
            <w:tcW w:w="12611" w:type="dxa"/>
          </w:tcPr>
          <w:p w14:paraId="15DAB62E" w14:textId="77777777" w:rsidR="004C70C1" w:rsidRPr="00C976A9" w:rsidRDefault="004C70C1" w:rsidP="007E299F">
            <w:pPr>
              <w:ind w:left="709"/>
              <w:rPr>
                <w:b/>
                <w:sz w:val="22"/>
                <w:szCs w:val="22"/>
              </w:rPr>
            </w:pPr>
            <w:r w:rsidRPr="00C976A9">
              <w:rPr>
                <w:b/>
                <w:sz w:val="22"/>
                <w:szCs w:val="22"/>
              </w:rPr>
              <w:t>Action</w:t>
            </w:r>
          </w:p>
        </w:tc>
        <w:tc>
          <w:tcPr>
            <w:tcW w:w="2381" w:type="dxa"/>
          </w:tcPr>
          <w:p w14:paraId="028BB358" w14:textId="77777777" w:rsidR="004C70C1" w:rsidRPr="00C976A9" w:rsidRDefault="004C70C1" w:rsidP="007E299F">
            <w:pPr>
              <w:ind w:left="709"/>
              <w:rPr>
                <w:b/>
                <w:sz w:val="22"/>
                <w:szCs w:val="22"/>
              </w:rPr>
            </w:pPr>
            <w:r w:rsidRPr="00C976A9">
              <w:rPr>
                <w:b/>
                <w:sz w:val="22"/>
                <w:szCs w:val="22"/>
              </w:rPr>
              <w:t>Tick box</w:t>
            </w:r>
          </w:p>
        </w:tc>
      </w:tr>
      <w:tr w:rsidR="004C70C1" w:rsidRPr="008F725D" w14:paraId="5664CD60" w14:textId="77777777" w:rsidTr="007066EB">
        <w:trPr>
          <w:trHeight w:val="522"/>
        </w:trPr>
        <w:tc>
          <w:tcPr>
            <w:tcW w:w="12611" w:type="dxa"/>
          </w:tcPr>
          <w:p w14:paraId="7A6450B7" w14:textId="77777777" w:rsidR="004C70C1" w:rsidRPr="008F725D" w:rsidRDefault="004C70C1" w:rsidP="003D60F4">
            <w:pPr>
              <w:tabs>
                <w:tab w:val="left" w:pos="567"/>
              </w:tabs>
              <w:ind w:left="567"/>
              <w:rPr>
                <w:sz w:val="22"/>
                <w:szCs w:val="22"/>
              </w:rPr>
            </w:pPr>
            <w:r w:rsidRPr="008F725D">
              <w:rPr>
                <w:sz w:val="22"/>
                <w:szCs w:val="22"/>
              </w:rPr>
              <w:t xml:space="preserve">Plan clearly states who is responsible for </w:t>
            </w:r>
            <w:proofErr w:type="gramStart"/>
            <w:r w:rsidRPr="008F725D">
              <w:rPr>
                <w:sz w:val="22"/>
                <w:szCs w:val="22"/>
              </w:rPr>
              <w:t>taking action</w:t>
            </w:r>
            <w:proofErr w:type="gramEnd"/>
            <w:r w:rsidRPr="008F725D">
              <w:rPr>
                <w:sz w:val="22"/>
                <w:szCs w:val="22"/>
              </w:rPr>
              <w:t xml:space="preserve"> and by when?</w:t>
            </w:r>
          </w:p>
          <w:p w14:paraId="757979D5" w14:textId="77777777" w:rsidR="004C70C1" w:rsidRPr="008F725D" w:rsidRDefault="004C70C1" w:rsidP="003D60F4">
            <w:pPr>
              <w:tabs>
                <w:tab w:val="left" w:pos="567"/>
              </w:tabs>
              <w:ind w:left="567"/>
              <w:rPr>
                <w:sz w:val="22"/>
                <w:szCs w:val="22"/>
              </w:rPr>
            </w:pPr>
          </w:p>
        </w:tc>
        <w:tc>
          <w:tcPr>
            <w:tcW w:w="2381" w:type="dxa"/>
          </w:tcPr>
          <w:p w14:paraId="5043DC3C" w14:textId="77777777" w:rsidR="004C70C1" w:rsidRPr="008F725D" w:rsidRDefault="004C70C1" w:rsidP="007E299F">
            <w:pPr>
              <w:ind w:left="709"/>
              <w:rPr>
                <w:sz w:val="22"/>
                <w:szCs w:val="22"/>
              </w:rPr>
            </w:pPr>
          </w:p>
        </w:tc>
      </w:tr>
      <w:tr w:rsidR="004C70C1" w:rsidRPr="008F725D" w14:paraId="1EDED99D" w14:textId="77777777" w:rsidTr="007066EB">
        <w:trPr>
          <w:trHeight w:val="522"/>
        </w:trPr>
        <w:tc>
          <w:tcPr>
            <w:tcW w:w="12611" w:type="dxa"/>
          </w:tcPr>
          <w:p w14:paraId="7427C512" w14:textId="77777777" w:rsidR="004C70C1" w:rsidRPr="008F725D" w:rsidRDefault="004C70C1" w:rsidP="003D60F4">
            <w:pPr>
              <w:tabs>
                <w:tab w:val="left" w:pos="567"/>
              </w:tabs>
              <w:ind w:left="567"/>
              <w:rPr>
                <w:sz w:val="22"/>
                <w:szCs w:val="22"/>
              </w:rPr>
            </w:pPr>
            <w:r w:rsidRPr="008F725D">
              <w:rPr>
                <w:sz w:val="22"/>
                <w:szCs w:val="22"/>
              </w:rPr>
              <w:t>Plan includes mitigating actions that can be undertaken in advance to minimise likelihood of problems or limit the impact if they do?</w:t>
            </w:r>
          </w:p>
          <w:p w14:paraId="34C044A4" w14:textId="77777777" w:rsidR="004C70C1" w:rsidRPr="008F725D" w:rsidRDefault="004C70C1" w:rsidP="003D60F4">
            <w:pPr>
              <w:tabs>
                <w:tab w:val="left" w:pos="567"/>
              </w:tabs>
              <w:ind w:left="567"/>
              <w:rPr>
                <w:sz w:val="22"/>
                <w:szCs w:val="22"/>
              </w:rPr>
            </w:pPr>
          </w:p>
        </w:tc>
        <w:tc>
          <w:tcPr>
            <w:tcW w:w="2381" w:type="dxa"/>
          </w:tcPr>
          <w:p w14:paraId="4F162038" w14:textId="77777777" w:rsidR="004C70C1" w:rsidRPr="008F725D" w:rsidRDefault="004C70C1" w:rsidP="007E299F">
            <w:pPr>
              <w:ind w:left="709"/>
              <w:rPr>
                <w:sz w:val="22"/>
                <w:szCs w:val="22"/>
              </w:rPr>
            </w:pPr>
          </w:p>
        </w:tc>
      </w:tr>
      <w:tr w:rsidR="004C70C1" w:rsidRPr="008F725D" w14:paraId="30B94A90" w14:textId="77777777" w:rsidTr="007066EB">
        <w:trPr>
          <w:trHeight w:val="522"/>
        </w:trPr>
        <w:tc>
          <w:tcPr>
            <w:tcW w:w="12611" w:type="dxa"/>
          </w:tcPr>
          <w:p w14:paraId="664F2AA2" w14:textId="77777777" w:rsidR="004C70C1" w:rsidRPr="008F725D" w:rsidRDefault="004C70C1" w:rsidP="003D60F4">
            <w:pPr>
              <w:tabs>
                <w:tab w:val="left" w:pos="567"/>
              </w:tabs>
              <w:ind w:left="567"/>
              <w:rPr>
                <w:sz w:val="22"/>
                <w:szCs w:val="22"/>
              </w:rPr>
            </w:pPr>
            <w:r w:rsidRPr="008F725D">
              <w:rPr>
                <w:sz w:val="22"/>
                <w:szCs w:val="22"/>
              </w:rPr>
              <w:t>Key information required for continuity of care is available in more than one way or location?</w:t>
            </w:r>
          </w:p>
          <w:p w14:paraId="06237773" w14:textId="77777777" w:rsidR="004C70C1" w:rsidRPr="008F725D" w:rsidRDefault="004C70C1" w:rsidP="003D60F4">
            <w:pPr>
              <w:tabs>
                <w:tab w:val="left" w:pos="567"/>
              </w:tabs>
              <w:ind w:left="567"/>
              <w:rPr>
                <w:sz w:val="22"/>
                <w:szCs w:val="22"/>
              </w:rPr>
            </w:pPr>
          </w:p>
        </w:tc>
        <w:tc>
          <w:tcPr>
            <w:tcW w:w="2381" w:type="dxa"/>
          </w:tcPr>
          <w:p w14:paraId="19AA2E27" w14:textId="77777777" w:rsidR="004C70C1" w:rsidRPr="008F725D" w:rsidRDefault="004C70C1" w:rsidP="007E299F">
            <w:pPr>
              <w:ind w:left="709"/>
              <w:rPr>
                <w:sz w:val="22"/>
                <w:szCs w:val="22"/>
              </w:rPr>
            </w:pPr>
          </w:p>
        </w:tc>
      </w:tr>
      <w:tr w:rsidR="004C70C1" w:rsidRPr="008F725D" w14:paraId="04E06652" w14:textId="77777777" w:rsidTr="007066EB">
        <w:trPr>
          <w:trHeight w:val="522"/>
        </w:trPr>
        <w:tc>
          <w:tcPr>
            <w:tcW w:w="12611" w:type="dxa"/>
          </w:tcPr>
          <w:p w14:paraId="4F6E3939" w14:textId="77777777" w:rsidR="004C70C1" w:rsidRPr="008F725D" w:rsidRDefault="004C70C1" w:rsidP="003D60F4">
            <w:pPr>
              <w:tabs>
                <w:tab w:val="left" w:pos="567"/>
              </w:tabs>
              <w:ind w:left="567"/>
              <w:rPr>
                <w:sz w:val="22"/>
                <w:szCs w:val="22"/>
              </w:rPr>
            </w:pPr>
            <w:r w:rsidRPr="008F725D">
              <w:rPr>
                <w:sz w:val="22"/>
                <w:szCs w:val="22"/>
              </w:rPr>
              <w:t>Plan clearly identifies actions to be taken if problems arise?</w:t>
            </w:r>
          </w:p>
          <w:p w14:paraId="5296216A" w14:textId="77777777" w:rsidR="004C70C1" w:rsidRPr="008F725D" w:rsidRDefault="004C70C1" w:rsidP="003D60F4">
            <w:pPr>
              <w:tabs>
                <w:tab w:val="left" w:pos="567"/>
              </w:tabs>
              <w:ind w:left="567"/>
              <w:rPr>
                <w:sz w:val="22"/>
                <w:szCs w:val="22"/>
              </w:rPr>
            </w:pPr>
          </w:p>
        </w:tc>
        <w:tc>
          <w:tcPr>
            <w:tcW w:w="2381" w:type="dxa"/>
          </w:tcPr>
          <w:p w14:paraId="648CB3F3" w14:textId="77777777" w:rsidR="004C70C1" w:rsidRPr="008F725D" w:rsidRDefault="004C70C1" w:rsidP="007E299F">
            <w:pPr>
              <w:ind w:left="709"/>
              <w:rPr>
                <w:sz w:val="22"/>
                <w:szCs w:val="22"/>
              </w:rPr>
            </w:pPr>
          </w:p>
        </w:tc>
      </w:tr>
      <w:tr w:rsidR="004C70C1" w:rsidRPr="008F725D" w14:paraId="027C1724" w14:textId="77777777" w:rsidTr="007066EB">
        <w:trPr>
          <w:trHeight w:val="522"/>
        </w:trPr>
        <w:tc>
          <w:tcPr>
            <w:tcW w:w="12611" w:type="dxa"/>
          </w:tcPr>
          <w:p w14:paraId="2FC200A0" w14:textId="77777777" w:rsidR="004C70C1" w:rsidRDefault="004C70C1" w:rsidP="003D60F4">
            <w:pPr>
              <w:tabs>
                <w:tab w:val="left" w:pos="567"/>
              </w:tabs>
              <w:ind w:left="567"/>
              <w:rPr>
                <w:sz w:val="22"/>
                <w:szCs w:val="22"/>
              </w:rPr>
            </w:pPr>
            <w:r>
              <w:rPr>
                <w:sz w:val="22"/>
                <w:szCs w:val="22"/>
              </w:rPr>
              <w:t>Risk-assessment has been carried out to identify risk areas in relation to supplies? The procurement of key items such as incontinence products, syringe drivers, PEG feeding tubes, catheters has been identified?</w:t>
            </w:r>
          </w:p>
          <w:p w14:paraId="409ED3BD" w14:textId="77777777" w:rsidR="004C70C1" w:rsidRPr="008F725D" w:rsidRDefault="004C70C1" w:rsidP="003D60F4">
            <w:pPr>
              <w:tabs>
                <w:tab w:val="left" w:pos="567"/>
              </w:tabs>
              <w:ind w:left="567"/>
              <w:rPr>
                <w:sz w:val="22"/>
                <w:szCs w:val="22"/>
              </w:rPr>
            </w:pPr>
          </w:p>
        </w:tc>
        <w:tc>
          <w:tcPr>
            <w:tcW w:w="2381" w:type="dxa"/>
          </w:tcPr>
          <w:p w14:paraId="282DDCCB" w14:textId="77777777" w:rsidR="004C70C1" w:rsidRPr="008F725D" w:rsidRDefault="004C70C1" w:rsidP="007E299F">
            <w:pPr>
              <w:ind w:left="709"/>
              <w:rPr>
                <w:sz w:val="22"/>
                <w:szCs w:val="22"/>
              </w:rPr>
            </w:pPr>
          </w:p>
        </w:tc>
      </w:tr>
      <w:tr w:rsidR="004C70C1" w:rsidRPr="008F725D" w14:paraId="0D188313" w14:textId="77777777" w:rsidTr="007066EB">
        <w:trPr>
          <w:trHeight w:val="522"/>
        </w:trPr>
        <w:tc>
          <w:tcPr>
            <w:tcW w:w="12611" w:type="dxa"/>
          </w:tcPr>
          <w:p w14:paraId="6D9066D0" w14:textId="77777777" w:rsidR="004C70C1" w:rsidRDefault="004C70C1" w:rsidP="003D60F4">
            <w:pPr>
              <w:tabs>
                <w:tab w:val="left" w:pos="567"/>
              </w:tabs>
              <w:ind w:left="567"/>
              <w:rPr>
                <w:sz w:val="22"/>
                <w:szCs w:val="22"/>
              </w:rPr>
            </w:pPr>
            <w:r>
              <w:rPr>
                <w:sz w:val="22"/>
                <w:szCs w:val="22"/>
              </w:rPr>
              <w:t>Employees have been made aware of the latest guidance on the EU Settlement Scheme? Practical advice has been provided to enable relevant staff to be supported to apply?</w:t>
            </w:r>
          </w:p>
          <w:p w14:paraId="57C5363F" w14:textId="77777777" w:rsidR="004C70C1" w:rsidRDefault="004C70C1" w:rsidP="003D60F4">
            <w:pPr>
              <w:tabs>
                <w:tab w:val="left" w:pos="567"/>
              </w:tabs>
              <w:ind w:left="567"/>
              <w:rPr>
                <w:sz w:val="22"/>
                <w:szCs w:val="22"/>
              </w:rPr>
            </w:pPr>
          </w:p>
        </w:tc>
        <w:tc>
          <w:tcPr>
            <w:tcW w:w="2381" w:type="dxa"/>
          </w:tcPr>
          <w:p w14:paraId="43BEE308" w14:textId="77777777" w:rsidR="004C70C1" w:rsidRPr="008F725D" w:rsidRDefault="004C70C1" w:rsidP="007E299F">
            <w:pPr>
              <w:ind w:left="709"/>
              <w:rPr>
                <w:sz w:val="22"/>
                <w:szCs w:val="22"/>
              </w:rPr>
            </w:pPr>
          </w:p>
        </w:tc>
      </w:tr>
      <w:tr w:rsidR="004C70C1" w:rsidRPr="008F725D" w14:paraId="321232B3" w14:textId="77777777" w:rsidTr="007066EB">
        <w:trPr>
          <w:trHeight w:val="522"/>
        </w:trPr>
        <w:tc>
          <w:tcPr>
            <w:tcW w:w="12611" w:type="dxa"/>
          </w:tcPr>
          <w:p w14:paraId="0069293A" w14:textId="77777777" w:rsidR="004C70C1" w:rsidRPr="008F725D" w:rsidRDefault="004C70C1" w:rsidP="003D60F4">
            <w:pPr>
              <w:tabs>
                <w:tab w:val="left" w:pos="567"/>
              </w:tabs>
              <w:ind w:left="567"/>
              <w:rPr>
                <w:sz w:val="22"/>
                <w:szCs w:val="22"/>
              </w:rPr>
            </w:pPr>
            <w:r w:rsidRPr="008F725D">
              <w:rPr>
                <w:sz w:val="22"/>
                <w:szCs w:val="22"/>
              </w:rPr>
              <w:t>It has been agreed where the plan will be stored, in what format and how it will be accessed?</w:t>
            </w:r>
          </w:p>
          <w:p w14:paraId="5D5F47D2" w14:textId="77777777" w:rsidR="004C70C1" w:rsidRPr="008F725D" w:rsidRDefault="004C70C1" w:rsidP="003D60F4">
            <w:pPr>
              <w:tabs>
                <w:tab w:val="left" w:pos="567"/>
              </w:tabs>
              <w:ind w:left="567"/>
              <w:rPr>
                <w:sz w:val="22"/>
                <w:szCs w:val="22"/>
              </w:rPr>
            </w:pPr>
          </w:p>
        </w:tc>
        <w:tc>
          <w:tcPr>
            <w:tcW w:w="2381" w:type="dxa"/>
          </w:tcPr>
          <w:p w14:paraId="2B533482" w14:textId="77777777" w:rsidR="004C70C1" w:rsidRPr="008F725D" w:rsidRDefault="004C70C1" w:rsidP="007E299F">
            <w:pPr>
              <w:ind w:left="709"/>
              <w:rPr>
                <w:sz w:val="22"/>
                <w:szCs w:val="22"/>
              </w:rPr>
            </w:pPr>
          </w:p>
        </w:tc>
      </w:tr>
      <w:tr w:rsidR="004C70C1" w:rsidRPr="008F725D" w14:paraId="65633A36" w14:textId="77777777" w:rsidTr="007066EB">
        <w:trPr>
          <w:trHeight w:val="522"/>
        </w:trPr>
        <w:tc>
          <w:tcPr>
            <w:tcW w:w="12611" w:type="dxa"/>
          </w:tcPr>
          <w:p w14:paraId="7F2FBDD6" w14:textId="77777777" w:rsidR="004C70C1" w:rsidRPr="008F725D" w:rsidRDefault="004C70C1" w:rsidP="003D60F4">
            <w:pPr>
              <w:tabs>
                <w:tab w:val="left" w:pos="567"/>
              </w:tabs>
              <w:ind w:left="567"/>
              <w:rPr>
                <w:sz w:val="22"/>
                <w:szCs w:val="22"/>
              </w:rPr>
            </w:pPr>
            <w:r w:rsidRPr="008F725D">
              <w:rPr>
                <w:sz w:val="22"/>
                <w:szCs w:val="22"/>
              </w:rPr>
              <w:t>Plan includes contact details for key suppliers, alternative suppliers as well as maintenance services?</w:t>
            </w:r>
          </w:p>
          <w:p w14:paraId="6592BF83" w14:textId="77777777" w:rsidR="004C70C1" w:rsidRPr="008F725D" w:rsidRDefault="004C70C1" w:rsidP="003D60F4">
            <w:pPr>
              <w:tabs>
                <w:tab w:val="left" w:pos="567"/>
              </w:tabs>
              <w:ind w:left="567"/>
              <w:rPr>
                <w:sz w:val="22"/>
                <w:szCs w:val="22"/>
              </w:rPr>
            </w:pPr>
          </w:p>
        </w:tc>
        <w:tc>
          <w:tcPr>
            <w:tcW w:w="2381" w:type="dxa"/>
          </w:tcPr>
          <w:p w14:paraId="49C9FFB2" w14:textId="77777777" w:rsidR="004C70C1" w:rsidRPr="008F725D" w:rsidRDefault="004C70C1" w:rsidP="007E299F">
            <w:pPr>
              <w:ind w:left="709"/>
              <w:rPr>
                <w:sz w:val="22"/>
                <w:szCs w:val="22"/>
              </w:rPr>
            </w:pPr>
          </w:p>
        </w:tc>
      </w:tr>
      <w:tr w:rsidR="004C70C1" w:rsidRPr="008F725D" w14:paraId="1AB7B34E" w14:textId="77777777" w:rsidTr="007066EB">
        <w:trPr>
          <w:trHeight w:val="804"/>
        </w:trPr>
        <w:tc>
          <w:tcPr>
            <w:tcW w:w="12611" w:type="dxa"/>
          </w:tcPr>
          <w:p w14:paraId="2ABD0EB2" w14:textId="77777777" w:rsidR="004C70C1" w:rsidRPr="008F725D" w:rsidRDefault="004C70C1" w:rsidP="003D60F4">
            <w:pPr>
              <w:tabs>
                <w:tab w:val="left" w:pos="567"/>
              </w:tabs>
              <w:ind w:left="567"/>
              <w:rPr>
                <w:sz w:val="22"/>
                <w:szCs w:val="22"/>
              </w:rPr>
            </w:pPr>
            <w:r w:rsidRPr="008F725D">
              <w:rPr>
                <w:sz w:val="22"/>
                <w:szCs w:val="22"/>
              </w:rPr>
              <w:t>Plan includes contact details for key commissioners including local authorities, Care Quality Commission and local health services including, where relevant, out-of-hours contact details?</w:t>
            </w:r>
          </w:p>
          <w:p w14:paraId="31E99DC7" w14:textId="77777777" w:rsidR="004C70C1" w:rsidRPr="008F725D" w:rsidRDefault="004C70C1" w:rsidP="003D60F4">
            <w:pPr>
              <w:tabs>
                <w:tab w:val="left" w:pos="567"/>
              </w:tabs>
              <w:ind w:left="567"/>
              <w:rPr>
                <w:sz w:val="22"/>
                <w:szCs w:val="22"/>
              </w:rPr>
            </w:pPr>
          </w:p>
        </w:tc>
        <w:tc>
          <w:tcPr>
            <w:tcW w:w="2381" w:type="dxa"/>
          </w:tcPr>
          <w:p w14:paraId="6A56B056" w14:textId="77777777" w:rsidR="004C70C1" w:rsidRPr="008F725D" w:rsidRDefault="004C70C1" w:rsidP="007E299F">
            <w:pPr>
              <w:ind w:left="709"/>
              <w:rPr>
                <w:sz w:val="22"/>
                <w:szCs w:val="22"/>
              </w:rPr>
            </w:pPr>
          </w:p>
        </w:tc>
      </w:tr>
      <w:tr w:rsidR="004C70C1" w:rsidRPr="008F725D" w14:paraId="110905D8" w14:textId="77777777" w:rsidTr="007066EB">
        <w:trPr>
          <w:trHeight w:val="611"/>
        </w:trPr>
        <w:tc>
          <w:tcPr>
            <w:tcW w:w="12611" w:type="dxa"/>
          </w:tcPr>
          <w:p w14:paraId="14666592" w14:textId="77777777" w:rsidR="004C70C1" w:rsidRPr="008F725D" w:rsidRDefault="004C70C1" w:rsidP="003D60F4">
            <w:pPr>
              <w:tabs>
                <w:tab w:val="left" w:pos="567"/>
              </w:tabs>
              <w:ind w:left="567"/>
              <w:rPr>
                <w:sz w:val="22"/>
                <w:szCs w:val="22"/>
              </w:rPr>
            </w:pPr>
            <w:r>
              <w:rPr>
                <w:sz w:val="22"/>
                <w:szCs w:val="22"/>
              </w:rPr>
              <w:t>There is provision within the plan to record (and budget) for any extra costs which result from the direct impact of EU exit?</w:t>
            </w:r>
          </w:p>
        </w:tc>
        <w:tc>
          <w:tcPr>
            <w:tcW w:w="2381" w:type="dxa"/>
          </w:tcPr>
          <w:p w14:paraId="3753484A" w14:textId="77777777" w:rsidR="004C70C1" w:rsidRPr="008F725D" w:rsidRDefault="004C70C1" w:rsidP="007E299F">
            <w:pPr>
              <w:ind w:left="709"/>
              <w:rPr>
                <w:sz w:val="22"/>
                <w:szCs w:val="22"/>
              </w:rPr>
            </w:pPr>
          </w:p>
        </w:tc>
      </w:tr>
      <w:tr w:rsidR="004C70C1" w:rsidRPr="008F725D" w14:paraId="14074C1F" w14:textId="77777777" w:rsidTr="007066EB">
        <w:trPr>
          <w:trHeight w:val="611"/>
        </w:trPr>
        <w:tc>
          <w:tcPr>
            <w:tcW w:w="12611" w:type="dxa"/>
          </w:tcPr>
          <w:p w14:paraId="2231E379" w14:textId="77777777" w:rsidR="004C70C1" w:rsidRDefault="004C70C1" w:rsidP="003D60F4">
            <w:pPr>
              <w:tabs>
                <w:tab w:val="left" w:pos="567"/>
              </w:tabs>
              <w:ind w:left="567"/>
              <w:rPr>
                <w:sz w:val="22"/>
                <w:szCs w:val="22"/>
              </w:rPr>
            </w:pPr>
            <w:r>
              <w:rPr>
                <w:sz w:val="22"/>
                <w:szCs w:val="22"/>
              </w:rPr>
              <w:t xml:space="preserve">Plan makes clear where it is necessary to inform the Care Quality Commission, and other regulators (such as the Charity Commission etc.)? </w:t>
            </w:r>
          </w:p>
        </w:tc>
        <w:tc>
          <w:tcPr>
            <w:tcW w:w="2381" w:type="dxa"/>
          </w:tcPr>
          <w:p w14:paraId="6EF04EAE" w14:textId="77777777" w:rsidR="004C70C1" w:rsidRPr="008F725D" w:rsidRDefault="004C70C1" w:rsidP="007E299F">
            <w:pPr>
              <w:ind w:left="709"/>
              <w:rPr>
                <w:sz w:val="22"/>
                <w:szCs w:val="22"/>
              </w:rPr>
            </w:pPr>
          </w:p>
        </w:tc>
      </w:tr>
      <w:tr w:rsidR="004C70C1" w:rsidRPr="008F725D" w14:paraId="2867D2B4" w14:textId="77777777" w:rsidTr="007066EB">
        <w:trPr>
          <w:trHeight w:val="522"/>
        </w:trPr>
        <w:tc>
          <w:tcPr>
            <w:tcW w:w="12611" w:type="dxa"/>
          </w:tcPr>
          <w:p w14:paraId="5303D7DA" w14:textId="32DAD2A8" w:rsidR="004C70C1" w:rsidRPr="008F725D" w:rsidRDefault="004C70C1" w:rsidP="007066EB">
            <w:pPr>
              <w:tabs>
                <w:tab w:val="left" w:pos="567"/>
              </w:tabs>
              <w:ind w:left="567"/>
              <w:rPr>
                <w:sz w:val="22"/>
                <w:szCs w:val="22"/>
              </w:rPr>
            </w:pPr>
            <w:r>
              <w:rPr>
                <w:sz w:val="22"/>
                <w:szCs w:val="22"/>
              </w:rPr>
              <w:t xml:space="preserve">Support has been provided to people using your care and support services by sharing public awareness messages, signposting service users who are EU Citizens to the EU Settlement Scheme? </w:t>
            </w:r>
          </w:p>
        </w:tc>
        <w:tc>
          <w:tcPr>
            <w:tcW w:w="2381" w:type="dxa"/>
          </w:tcPr>
          <w:p w14:paraId="557C9B8A" w14:textId="77777777" w:rsidR="004C70C1" w:rsidRPr="008F725D" w:rsidRDefault="004C70C1" w:rsidP="007E299F">
            <w:pPr>
              <w:ind w:left="709"/>
              <w:rPr>
                <w:sz w:val="22"/>
                <w:szCs w:val="22"/>
              </w:rPr>
            </w:pPr>
          </w:p>
        </w:tc>
      </w:tr>
      <w:tr w:rsidR="004C70C1" w:rsidRPr="008F725D" w14:paraId="5F641AE7" w14:textId="77777777" w:rsidTr="007066EB">
        <w:trPr>
          <w:trHeight w:val="239"/>
        </w:trPr>
        <w:tc>
          <w:tcPr>
            <w:tcW w:w="12611" w:type="dxa"/>
          </w:tcPr>
          <w:p w14:paraId="320B0780" w14:textId="77777777" w:rsidR="004C70C1" w:rsidRPr="008F725D" w:rsidRDefault="004C70C1" w:rsidP="007E299F">
            <w:pPr>
              <w:ind w:left="709"/>
              <w:rPr>
                <w:b/>
                <w:sz w:val="22"/>
                <w:szCs w:val="22"/>
              </w:rPr>
            </w:pPr>
            <w:r w:rsidRPr="008F725D">
              <w:rPr>
                <w:b/>
                <w:sz w:val="22"/>
                <w:szCs w:val="22"/>
              </w:rPr>
              <w:t>In an emergency, it’s important to keep a record of actions and decisions, and to debrief afterwards</w:t>
            </w:r>
          </w:p>
        </w:tc>
        <w:tc>
          <w:tcPr>
            <w:tcW w:w="2381" w:type="dxa"/>
          </w:tcPr>
          <w:p w14:paraId="6C2B979C" w14:textId="77777777" w:rsidR="004C70C1" w:rsidRPr="008F725D" w:rsidRDefault="004C70C1" w:rsidP="007E299F">
            <w:pPr>
              <w:ind w:left="709"/>
              <w:rPr>
                <w:sz w:val="22"/>
                <w:szCs w:val="22"/>
              </w:rPr>
            </w:pPr>
          </w:p>
        </w:tc>
      </w:tr>
    </w:tbl>
    <w:p w14:paraId="70A0701E" w14:textId="77777777" w:rsidR="007066EB" w:rsidRDefault="007066EB" w:rsidP="007E299F">
      <w:pPr>
        <w:ind w:left="709"/>
        <w:jc w:val="center"/>
        <w:rPr>
          <w:b/>
        </w:rPr>
      </w:pPr>
    </w:p>
    <w:p w14:paraId="73D66893" w14:textId="77777777" w:rsidR="00963FE1" w:rsidRDefault="00963FE1" w:rsidP="007E299F">
      <w:pPr>
        <w:ind w:left="709"/>
        <w:jc w:val="center"/>
        <w:rPr>
          <w:b/>
        </w:rPr>
      </w:pPr>
    </w:p>
    <w:p w14:paraId="1E690B07" w14:textId="722796F0" w:rsidR="004C70C1" w:rsidRPr="00963FE1" w:rsidRDefault="004C70C1" w:rsidP="007E299F">
      <w:pPr>
        <w:ind w:left="709"/>
        <w:jc w:val="center"/>
        <w:rPr>
          <w:b/>
          <w:sz w:val="32"/>
          <w:szCs w:val="32"/>
        </w:rPr>
      </w:pPr>
      <w:r w:rsidRPr="00963FE1">
        <w:rPr>
          <w:b/>
          <w:sz w:val="32"/>
          <w:szCs w:val="32"/>
        </w:rPr>
        <w:t>Action Log</w:t>
      </w:r>
    </w:p>
    <w:p w14:paraId="3ED8CFBA" w14:textId="77777777" w:rsidR="004C70C1" w:rsidRPr="008D420D" w:rsidRDefault="004C70C1" w:rsidP="007E299F">
      <w:pPr>
        <w:ind w:left="709"/>
        <w:jc w:val="center"/>
        <w:rPr>
          <w:b/>
        </w:rPr>
      </w:pPr>
    </w:p>
    <w:tbl>
      <w:tblPr>
        <w:tblStyle w:val="TableGrid"/>
        <w:tblW w:w="14992" w:type="dxa"/>
        <w:tblInd w:w="817" w:type="dxa"/>
        <w:tblLook w:val="04A0" w:firstRow="1" w:lastRow="0" w:firstColumn="1" w:lastColumn="0" w:noHBand="0" w:noVBand="1"/>
      </w:tblPr>
      <w:tblGrid>
        <w:gridCol w:w="2405"/>
        <w:gridCol w:w="12587"/>
      </w:tblGrid>
      <w:tr w:rsidR="004C70C1" w:rsidRPr="008F725D" w14:paraId="723DBBE9" w14:textId="77777777" w:rsidTr="003D60F4">
        <w:tc>
          <w:tcPr>
            <w:tcW w:w="2405" w:type="dxa"/>
          </w:tcPr>
          <w:p w14:paraId="1EA5F7A7" w14:textId="77777777" w:rsidR="004C70C1" w:rsidRPr="008F725D" w:rsidRDefault="004C70C1" w:rsidP="007E299F">
            <w:pPr>
              <w:ind w:left="709"/>
              <w:rPr>
                <w:sz w:val="22"/>
                <w:szCs w:val="22"/>
              </w:rPr>
            </w:pPr>
            <w:r w:rsidRPr="008F725D">
              <w:rPr>
                <w:sz w:val="22"/>
                <w:szCs w:val="22"/>
              </w:rPr>
              <w:t>Date</w:t>
            </w:r>
          </w:p>
        </w:tc>
        <w:tc>
          <w:tcPr>
            <w:tcW w:w="12587" w:type="dxa"/>
          </w:tcPr>
          <w:p w14:paraId="601A766A" w14:textId="77777777" w:rsidR="004C70C1" w:rsidRPr="008F725D" w:rsidRDefault="004C70C1" w:rsidP="007E299F">
            <w:pPr>
              <w:ind w:left="709"/>
              <w:rPr>
                <w:sz w:val="22"/>
                <w:szCs w:val="22"/>
              </w:rPr>
            </w:pPr>
            <w:r w:rsidRPr="008F725D">
              <w:rPr>
                <w:sz w:val="22"/>
                <w:szCs w:val="22"/>
              </w:rPr>
              <w:t>Action Taken</w:t>
            </w:r>
          </w:p>
        </w:tc>
      </w:tr>
      <w:tr w:rsidR="004C70C1" w:rsidRPr="008F725D" w14:paraId="5AE3E1EB" w14:textId="77777777" w:rsidTr="003D60F4">
        <w:tc>
          <w:tcPr>
            <w:tcW w:w="2405" w:type="dxa"/>
          </w:tcPr>
          <w:p w14:paraId="455EE011" w14:textId="77777777" w:rsidR="004C70C1" w:rsidRPr="008F725D" w:rsidRDefault="004C70C1" w:rsidP="007E299F">
            <w:pPr>
              <w:ind w:left="709"/>
              <w:rPr>
                <w:sz w:val="22"/>
                <w:szCs w:val="22"/>
              </w:rPr>
            </w:pPr>
          </w:p>
        </w:tc>
        <w:tc>
          <w:tcPr>
            <w:tcW w:w="12587" w:type="dxa"/>
          </w:tcPr>
          <w:p w14:paraId="63C6C0EB" w14:textId="77777777" w:rsidR="004C70C1" w:rsidRPr="008F725D" w:rsidRDefault="004C70C1" w:rsidP="007E299F">
            <w:pPr>
              <w:ind w:left="709"/>
              <w:rPr>
                <w:sz w:val="22"/>
                <w:szCs w:val="22"/>
              </w:rPr>
            </w:pPr>
          </w:p>
        </w:tc>
      </w:tr>
      <w:tr w:rsidR="004C70C1" w:rsidRPr="008F725D" w14:paraId="6F0E5EDF" w14:textId="77777777" w:rsidTr="003D60F4">
        <w:tc>
          <w:tcPr>
            <w:tcW w:w="2405" w:type="dxa"/>
          </w:tcPr>
          <w:p w14:paraId="735ED972" w14:textId="77777777" w:rsidR="004C70C1" w:rsidRPr="008F725D" w:rsidRDefault="004C70C1" w:rsidP="007E299F">
            <w:pPr>
              <w:ind w:left="709"/>
              <w:rPr>
                <w:sz w:val="22"/>
                <w:szCs w:val="22"/>
              </w:rPr>
            </w:pPr>
          </w:p>
        </w:tc>
        <w:tc>
          <w:tcPr>
            <w:tcW w:w="12587" w:type="dxa"/>
          </w:tcPr>
          <w:p w14:paraId="18C8EBE5" w14:textId="77777777" w:rsidR="004C70C1" w:rsidRPr="008F725D" w:rsidRDefault="004C70C1" w:rsidP="007E299F">
            <w:pPr>
              <w:ind w:left="709"/>
              <w:rPr>
                <w:sz w:val="22"/>
                <w:szCs w:val="22"/>
              </w:rPr>
            </w:pPr>
          </w:p>
        </w:tc>
      </w:tr>
      <w:tr w:rsidR="004C70C1" w:rsidRPr="008F725D" w14:paraId="163578B5" w14:textId="77777777" w:rsidTr="003D60F4">
        <w:tc>
          <w:tcPr>
            <w:tcW w:w="2405" w:type="dxa"/>
          </w:tcPr>
          <w:p w14:paraId="155A7113" w14:textId="77777777" w:rsidR="004C70C1" w:rsidRPr="008F725D" w:rsidRDefault="004C70C1" w:rsidP="007E299F">
            <w:pPr>
              <w:ind w:left="709"/>
              <w:rPr>
                <w:sz w:val="22"/>
                <w:szCs w:val="22"/>
              </w:rPr>
            </w:pPr>
          </w:p>
        </w:tc>
        <w:tc>
          <w:tcPr>
            <w:tcW w:w="12587" w:type="dxa"/>
          </w:tcPr>
          <w:p w14:paraId="49B09448" w14:textId="77777777" w:rsidR="004C70C1" w:rsidRPr="008F725D" w:rsidRDefault="004C70C1" w:rsidP="007E299F">
            <w:pPr>
              <w:ind w:left="709"/>
              <w:rPr>
                <w:sz w:val="22"/>
                <w:szCs w:val="22"/>
              </w:rPr>
            </w:pPr>
          </w:p>
        </w:tc>
      </w:tr>
      <w:tr w:rsidR="004C70C1" w:rsidRPr="008F725D" w14:paraId="091E58CD" w14:textId="77777777" w:rsidTr="003D60F4">
        <w:tc>
          <w:tcPr>
            <w:tcW w:w="2405" w:type="dxa"/>
          </w:tcPr>
          <w:p w14:paraId="1C647679" w14:textId="77777777" w:rsidR="004C70C1" w:rsidRPr="008F725D" w:rsidRDefault="004C70C1" w:rsidP="007E299F">
            <w:pPr>
              <w:ind w:left="709"/>
              <w:rPr>
                <w:sz w:val="22"/>
                <w:szCs w:val="22"/>
              </w:rPr>
            </w:pPr>
          </w:p>
        </w:tc>
        <w:tc>
          <w:tcPr>
            <w:tcW w:w="12587" w:type="dxa"/>
          </w:tcPr>
          <w:p w14:paraId="5521B4B5" w14:textId="77777777" w:rsidR="004C70C1" w:rsidRPr="008F725D" w:rsidRDefault="004C70C1" w:rsidP="007E299F">
            <w:pPr>
              <w:ind w:left="709"/>
              <w:rPr>
                <w:sz w:val="22"/>
                <w:szCs w:val="22"/>
              </w:rPr>
            </w:pPr>
          </w:p>
        </w:tc>
      </w:tr>
      <w:tr w:rsidR="004C70C1" w:rsidRPr="008F725D" w14:paraId="2E17C2AB" w14:textId="77777777" w:rsidTr="003D60F4">
        <w:tc>
          <w:tcPr>
            <w:tcW w:w="2405" w:type="dxa"/>
          </w:tcPr>
          <w:p w14:paraId="6C416A2A" w14:textId="77777777" w:rsidR="004C70C1" w:rsidRPr="008F725D" w:rsidRDefault="004C70C1" w:rsidP="007E299F">
            <w:pPr>
              <w:ind w:left="709"/>
              <w:rPr>
                <w:sz w:val="22"/>
                <w:szCs w:val="22"/>
              </w:rPr>
            </w:pPr>
          </w:p>
        </w:tc>
        <w:tc>
          <w:tcPr>
            <w:tcW w:w="12587" w:type="dxa"/>
          </w:tcPr>
          <w:p w14:paraId="2492C838" w14:textId="77777777" w:rsidR="004C70C1" w:rsidRPr="008F725D" w:rsidRDefault="004C70C1" w:rsidP="007E299F">
            <w:pPr>
              <w:ind w:left="709"/>
              <w:rPr>
                <w:sz w:val="22"/>
                <w:szCs w:val="22"/>
              </w:rPr>
            </w:pPr>
          </w:p>
        </w:tc>
      </w:tr>
      <w:tr w:rsidR="004C70C1" w:rsidRPr="008F725D" w14:paraId="39E9F268" w14:textId="77777777" w:rsidTr="003D60F4">
        <w:tc>
          <w:tcPr>
            <w:tcW w:w="2405" w:type="dxa"/>
          </w:tcPr>
          <w:p w14:paraId="6093E80B" w14:textId="77777777" w:rsidR="004C70C1" w:rsidRPr="008F725D" w:rsidRDefault="004C70C1" w:rsidP="007E299F">
            <w:pPr>
              <w:ind w:left="709"/>
              <w:rPr>
                <w:sz w:val="22"/>
                <w:szCs w:val="22"/>
              </w:rPr>
            </w:pPr>
          </w:p>
        </w:tc>
        <w:tc>
          <w:tcPr>
            <w:tcW w:w="12587" w:type="dxa"/>
          </w:tcPr>
          <w:p w14:paraId="2539EA9B" w14:textId="77777777" w:rsidR="004C70C1" w:rsidRPr="008F725D" w:rsidRDefault="004C70C1" w:rsidP="007E299F">
            <w:pPr>
              <w:ind w:left="709"/>
              <w:rPr>
                <w:sz w:val="22"/>
                <w:szCs w:val="22"/>
              </w:rPr>
            </w:pPr>
          </w:p>
        </w:tc>
      </w:tr>
      <w:tr w:rsidR="004C70C1" w:rsidRPr="008F725D" w14:paraId="3D2DE9A0" w14:textId="77777777" w:rsidTr="003D60F4">
        <w:tc>
          <w:tcPr>
            <w:tcW w:w="2405" w:type="dxa"/>
          </w:tcPr>
          <w:p w14:paraId="5F055F2A" w14:textId="77777777" w:rsidR="004C70C1" w:rsidRPr="008F725D" w:rsidRDefault="004C70C1" w:rsidP="007E299F">
            <w:pPr>
              <w:ind w:left="709"/>
              <w:rPr>
                <w:sz w:val="22"/>
                <w:szCs w:val="22"/>
              </w:rPr>
            </w:pPr>
          </w:p>
        </w:tc>
        <w:tc>
          <w:tcPr>
            <w:tcW w:w="12587" w:type="dxa"/>
          </w:tcPr>
          <w:p w14:paraId="6C20B0DC" w14:textId="77777777" w:rsidR="004C70C1" w:rsidRPr="008F725D" w:rsidRDefault="004C70C1" w:rsidP="007E299F">
            <w:pPr>
              <w:ind w:left="709"/>
              <w:rPr>
                <w:sz w:val="22"/>
                <w:szCs w:val="22"/>
              </w:rPr>
            </w:pPr>
          </w:p>
        </w:tc>
      </w:tr>
    </w:tbl>
    <w:p w14:paraId="30A293AF" w14:textId="77777777" w:rsidR="004C70C1" w:rsidRPr="008F725D" w:rsidRDefault="004C70C1" w:rsidP="007066EB"/>
    <w:p w14:paraId="2710D468" w14:textId="69D01A1C" w:rsidR="004C70C1" w:rsidRPr="00654693" w:rsidRDefault="004C70C1" w:rsidP="007066EB">
      <w:pPr>
        <w:ind w:left="709"/>
        <w:jc w:val="center"/>
        <w:rPr>
          <w:b/>
        </w:rPr>
      </w:pPr>
      <w:r>
        <w:rPr>
          <w:b/>
        </w:rPr>
        <w:t>Record u</w:t>
      </w:r>
      <w:r w:rsidRPr="00654693">
        <w:rPr>
          <w:b/>
        </w:rPr>
        <w:t>seful contact numbers, resources and sources of additional information</w:t>
      </w:r>
    </w:p>
    <w:tbl>
      <w:tblPr>
        <w:tblStyle w:val="TableGrid"/>
        <w:tblW w:w="14992" w:type="dxa"/>
        <w:tblInd w:w="817" w:type="dxa"/>
        <w:tblLook w:val="04A0" w:firstRow="1" w:lastRow="0" w:firstColumn="1" w:lastColumn="0" w:noHBand="0" w:noVBand="1"/>
      </w:tblPr>
      <w:tblGrid>
        <w:gridCol w:w="9985"/>
        <w:gridCol w:w="5007"/>
      </w:tblGrid>
      <w:tr w:rsidR="004C70C1" w:rsidRPr="008F725D" w14:paraId="11A45AA7" w14:textId="77777777" w:rsidTr="003D60F4">
        <w:tc>
          <w:tcPr>
            <w:tcW w:w="9985" w:type="dxa"/>
          </w:tcPr>
          <w:p w14:paraId="4BB16C21" w14:textId="77777777" w:rsidR="004C70C1" w:rsidRPr="008F725D" w:rsidRDefault="004C70C1" w:rsidP="007E299F">
            <w:pPr>
              <w:ind w:left="709"/>
              <w:rPr>
                <w:sz w:val="22"/>
                <w:szCs w:val="22"/>
              </w:rPr>
            </w:pPr>
          </w:p>
        </w:tc>
        <w:tc>
          <w:tcPr>
            <w:tcW w:w="5007" w:type="dxa"/>
          </w:tcPr>
          <w:p w14:paraId="708DF95D" w14:textId="77777777" w:rsidR="004C70C1" w:rsidRPr="008F725D" w:rsidRDefault="004C70C1" w:rsidP="007E299F">
            <w:pPr>
              <w:ind w:left="709"/>
              <w:rPr>
                <w:sz w:val="22"/>
                <w:szCs w:val="22"/>
              </w:rPr>
            </w:pPr>
          </w:p>
        </w:tc>
      </w:tr>
      <w:tr w:rsidR="004C70C1" w:rsidRPr="008F725D" w14:paraId="5CF30A73" w14:textId="77777777" w:rsidTr="003D60F4">
        <w:tc>
          <w:tcPr>
            <w:tcW w:w="9985" w:type="dxa"/>
          </w:tcPr>
          <w:p w14:paraId="69366180" w14:textId="77777777" w:rsidR="004C70C1" w:rsidRPr="008F725D" w:rsidRDefault="004C70C1" w:rsidP="007E299F">
            <w:pPr>
              <w:ind w:left="709"/>
              <w:rPr>
                <w:sz w:val="22"/>
                <w:szCs w:val="22"/>
              </w:rPr>
            </w:pPr>
          </w:p>
        </w:tc>
        <w:tc>
          <w:tcPr>
            <w:tcW w:w="5007" w:type="dxa"/>
          </w:tcPr>
          <w:p w14:paraId="66476B7A" w14:textId="77777777" w:rsidR="004C70C1" w:rsidRPr="008F725D" w:rsidRDefault="004C70C1" w:rsidP="007E299F">
            <w:pPr>
              <w:ind w:left="709"/>
              <w:rPr>
                <w:sz w:val="22"/>
                <w:szCs w:val="22"/>
              </w:rPr>
            </w:pPr>
          </w:p>
        </w:tc>
      </w:tr>
      <w:tr w:rsidR="004C70C1" w:rsidRPr="008F725D" w14:paraId="7996229E" w14:textId="77777777" w:rsidTr="003D60F4">
        <w:tc>
          <w:tcPr>
            <w:tcW w:w="9985" w:type="dxa"/>
          </w:tcPr>
          <w:p w14:paraId="72E4C387" w14:textId="77777777" w:rsidR="004C70C1" w:rsidRPr="008F725D" w:rsidRDefault="004C70C1" w:rsidP="007E299F">
            <w:pPr>
              <w:ind w:left="709"/>
              <w:rPr>
                <w:sz w:val="22"/>
                <w:szCs w:val="22"/>
              </w:rPr>
            </w:pPr>
          </w:p>
        </w:tc>
        <w:tc>
          <w:tcPr>
            <w:tcW w:w="5007" w:type="dxa"/>
          </w:tcPr>
          <w:p w14:paraId="4D2E0582" w14:textId="77777777" w:rsidR="004C70C1" w:rsidRPr="008F725D" w:rsidRDefault="004C70C1" w:rsidP="007E299F">
            <w:pPr>
              <w:ind w:left="709"/>
              <w:rPr>
                <w:sz w:val="22"/>
                <w:szCs w:val="22"/>
              </w:rPr>
            </w:pPr>
          </w:p>
        </w:tc>
      </w:tr>
      <w:tr w:rsidR="004C70C1" w:rsidRPr="008F725D" w14:paraId="1825D89C" w14:textId="77777777" w:rsidTr="003D60F4">
        <w:tc>
          <w:tcPr>
            <w:tcW w:w="9985" w:type="dxa"/>
          </w:tcPr>
          <w:p w14:paraId="0FBAF1CD" w14:textId="77777777" w:rsidR="004C70C1" w:rsidRPr="008F725D" w:rsidRDefault="004C70C1" w:rsidP="007E299F">
            <w:pPr>
              <w:ind w:left="709"/>
              <w:rPr>
                <w:sz w:val="22"/>
                <w:szCs w:val="22"/>
              </w:rPr>
            </w:pPr>
          </w:p>
        </w:tc>
        <w:tc>
          <w:tcPr>
            <w:tcW w:w="5007" w:type="dxa"/>
          </w:tcPr>
          <w:p w14:paraId="11DAF641" w14:textId="77777777" w:rsidR="004C70C1" w:rsidRPr="008F725D" w:rsidRDefault="004C70C1" w:rsidP="007E299F">
            <w:pPr>
              <w:ind w:left="709"/>
              <w:rPr>
                <w:sz w:val="22"/>
                <w:szCs w:val="22"/>
              </w:rPr>
            </w:pPr>
          </w:p>
        </w:tc>
      </w:tr>
      <w:tr w:rsidR="004C70C1" w:rsidRPr="008F725D" w14:paraId="3F8508CD" w14:textId="77777777" w:rsidTr="003D60F4">
        <w:tc>
          <w:tcPr>
            <w:tcW w:w="9985" w:type="dxa"/>
          </w:tcPr>
          <w:p w14:paraId="7EF38699" w14:textId="77777777" w:rsidR="004C70C1" w:rsidRPr="008F725D" w:rsidRDefault="004C70C1" w:rsidP="007E299F">
            <w:pPr>
              <w:ind w:left="709"/>
              <w:rPr>
                <w:sz w:val="22"/>
                <w:szCs w:val="22"/>
              </w:rPr>
            </w:pPr>
          </w:p>
        </w:tc>
        <w:tc>
          <w:tcPr>
            <w:tcW w:w="5007" w:type="dxa"/>
          </w:tcPr>
          <w:p w14:paraId="5F7FA90C" w14:textId="77777777" w:rsidR="004C70C1" w:rsidRPr="008F725D" w:rsidRDefault="004C70C1" w:rsidP="007E299F">
            <w:pPr>
              <w:ind w:left="709"/>
              <w:rPr>
                <w:sz w:val="22"/>
                <w:szCs w:val="22"/>
              </w:rPr>
            </w:pPr>
          </w:p>
        </w:tc>
      </w:tr>
      <w:tr w:rsidR="004C70C1" w:rsidRPr="008F725D" w14:paraId="3A05452F" w14:textId="77777777" w:rsidTr="003D60F4">
        <w:tc>
          <w:tcPr>
            <w:tcW w:w="9985" w:type="dxa"/>
          </w:tcPr>
          <w:p w14:paraId="6DAF7956" w14:textId="77777777" w:rsidR="004C70C1" w:rsidRPr="008F725D" w:rsidRDefault="004C70C1" w:rsidP="007E299F">
            <w:pPr>
              <w:ind w:left="709"/>
              <w:rPr>
                <w:sz w:val="22"/>
                <w:szCs w:val="22"/>
              </w:rPr>
            </w:pPr>
          </w:p>
        </w:tc>
        <w:tc>
          <w:tcPr>
            <w:tcW w:w="5007" w:type="dxa"/>
          </w:tcPr>
          <w:p w14:paraId="7FCEC269" w14:textId="77777777" w:rsidR="004C70C1" w:rsidRPr="008F725D" w:rsidRDefault="004C70C1" w:rsidP="007E299F">
            <w:pPr>
              <w:ind w:left="709"/>
              <w:rPr>
                <w:sz w:val="22"/>
                <w:szCs w:val="22"/>
              </w:rPr>
            </w:pPr>
          </w:p>
        </w:tc>
      </w:tr>
      <w:tr w:rsidR="004C70C1" w:rsidRPr="008F725D" w14:paraId="7D644560" w14:textId="77777777" w:rsidTr="003D60F4">
        <w:tc>
          <w:tcPr>
            <w:tcW w:w="9985" w:type="dxa"/>
          </w:tcPr>
          <w:p w14:paraId="773BEC78" w14:textId="77777777" w:rsidR="004C70C1" w:rsidRPr="008F725D" w:rsidRDefault="004C70C1" w:rsidP="007E299F">
            <w:pPr>
              <w:ind w:left="709"/>
              <w:rPr>
                <w:sz w:val="22"/>
                <w:szCs w:val="22"/>
              </w:rPr>
            </w:pPr>
          </w:p>
        </w:tc>
        <w:tc>
          <w:tcPr>
            <w:tcW w:w="5007" w:type="dxa"/>
          </w:tcPr>
          <w:p w14:paraId="50EBB3F9" w14:textId="77777777" w:rsidR="004C70C1" w:rsidRPr="008F725D" w:rsidRDefault="004C70C1" w:rsidP="007E299F">
            <w:pPr>
              <w:ind w:left="709"/>
              <w:rPr>
                <w:sz w:val="22"/>
                <w:szCs w:val="22"/>
              </w:rPr>
            </w:pPr>
          </w:p>
        </w:tc>
      </w:tr>
    </w:tbl>
    <w:p w14:paraId="0B646C92" w14:textId="77777777" w:rsidR="004C70C1" w:rsidRDefault="004C70C1" w:rsidP="007066EB">
      <w:pPr>
        <w:rPr>
          <w:rStyle w:val="Hyperlink"/>
        </w:rPr>
      </w:pPr>
    </w:p>
    <w:p w14:paraId="2F35EBF2" w14:textId="77777777" w:rsidR="007066EB" w:rsidRDefault="004C70C1" w:rsidP="007066EB">
      <w:pPr>
        <w:ind w:left="709"/>
        <w:rPr>
          <w:rStyle w:val="Hyperlink"/>
        </w:rPr>
      </w:pPr>
      <w:r w:rsidRPr="001C5E13">
        <w:t xml:space="preserve">Department of Health and Social Care </w:t>
      </w:r>
      <w:r>
        <w:t xml:space="preserve">guidance for </w:t>
      </w:r>
      <w:r w:rsidRPr="001C5E13">
        <w:t>organisations involved in health and care about conting</w:t>
      </w:r>
      <w:r>
        <w:t xml:space="preserve">ency plans for a no-deal Brexit can be found at: </w:t>
      </w:r>
      <w:hyperlink r:id="rId12" w:history="1">
        <w:r w:rsidRPr="00B07C86">
          <w:rPr>
            <w:rStyle w:val="Hyperlink"/>
          </w:rPr>
          <w:t>https://www.gov.uk/government/collections/planning-for-a-possible-no-deal-eu-exit-information-for-the-health-and-care-sector</w:t>
        </w:r>
      </w:hyperlink>
    </w:p>
    <w:p w14:paraId="6E8381E9" w14:textId="0CFE6021" w:rsidR="00D95300" w:rsidRPr="007066EB" w:rsidRDefault="009C44F5" w:rsidP="007066EB">
      <w:pPr>
        <w:ind w:left="709"/>
        <w:rPr>
          <w:color w:val="0000FF" w:themeColor="hyperlink"/>
          <w:u w:val="single"/>
        </w:rPr>
      </w:pPr>
      <w:hyperlink r:id="rId13" w:history="1">
        <w:r w:rsidR="007066EB" w:rsidRPr="00424D11">
          <w:rPr>
            <w:rStyle w:val="Hyperlink"/>
            <w:rFonts w:ascii="Calibri" w:eastAsia="Times New Roman" w:hAnsi="Calibri"/>
          </w:rPr>
          <w:t>https://www.gov.uk/government/news/eu-workers-qualifications-will-be-recognised-after-eu-exit</w:t>
        </w:r>
      </w:hyperlink>
    </w:p>
    <w:sectPr w:rsidR="00D95300" w:rsidRPr="007066EB" w:rsidSect="00963FE1">
      <w:footerReference w:type="default" r:id="rId14"/>
      <w:pgSz w:w="16838" w:h="11906" w:orient="landscape"/>
      <w:pgMar w:top="709"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612F" w14:textId="77777777" w:rsidR="009C44F5" w:rsidRDefault="009C44F5" w:rsidP="00963FE1">
      <w:pPr>
        <w:spacing w:after="0" w:line="240" w:lineRule="auto"/>
      </w:pPr>
      <w:r>
        <w:separator/>
      </w:r>
    </w:p>
  </w:endnote>
  <w:endnote w:type="continuationSeparator" w:id="0">
    <w:p w14:paraId="5A34D797" w14:textId="77777777" w:rsidR="009C44F5" w:rsidRDefault="009C44F5" w:rsidP="0096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78542"/>
      <w:docPartObj>
        <w:docPartGallery w:val="Page Numbers (Bottom of Page)"/>
        <w:docPartUnique/>
      </w:docPartObj>
    </w:sdtPr>
    <w:sdtEndPr>
      <w:rPr>
        <w:color w:val="7F7F7F" w:themeColor="background1" w:themeShade="7F"/>
        <w:spacing w:val="60"/>
      </w:rPr>
    </w:sdtEndPr>
    <w:sdtContent>
      <w:p w14:paraId="4163A5E4" w14:textId="7878F772" w:rsidR="00963FE1" w:rsidRDefault="00963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0250D4" w14:textId="77777777" w:rsidR="00963FE1" w:rsidRDefault="0096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160F" w14:textId="77777777" w:rsidR="009C44F5" w:rsidRDefault="009C44F5" w:rsidP="00963FE1">
      <w:pPr>
        <w:spacing w:after="0" w:line="240" w:lineRule="auto"/>
      </w:pPr>
      <w:r>
        <w:separator/>
      </w:r>
    </w:p>
  </w:footnote>
  <w:footnote w:type="continuationSeparator" w:id="0">
    <w:p w14:paraId="1FA12BA6" w14:textId="77777777" w:rsidR="009C44F5" w:rsidRDefault="009C44F5" w:rsidP="00963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1687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BA2C89"/>
    <w:multiLevelType w:val="multilevel"/>
    <w:tmpl w:val="8732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02A0A"/>
    <w:multiLevelType w:val="hybridMultilevel"/>
    <w:tmpl w:val="284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8A"/>
    <w:rsid w:val="00164CEB"/>
    <w:rsid w:val="00184E0A"/>
    <w:rsid w:val="00197439"/>
    <w:rsid w:val="001D13C9"/>
    <w:rsid w:val="001E653C"/>
    <w:rsid w:val="0020742F"/>
    <w:rsid w:val="002D4C43"/>
    <w:rsid w:val="003D60F4"/>
    <w:rsid w:val="00424D41"/>
    <w:rsid w:val="004C70C1"/>
    <w:rsid w:val="00503D38"/>
    <w:rsid w:val="00625D8A"/>
    <w:rsid w:val="007066EB"/>
    <w:rsid w:val="007E299F"/>
    <w:rsid w:val="008C1CC6"/>
    <w:rsid w:val="00963FE1"/>
    <w:rsid w:val="009B1735"/>
    <w:rsid w:val="009C44F5"/>
    <w:rsid w:val="00A23AFB"/>
    <w:rsid w:val="00C0562F"/>
    <w:rsid w:val="00CC14BC"/>
    <w:rsid w:val="00D21C99"/>
    <w:rsid w:val="00D95300"/>
    <w:rsid w:val="00E8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FEC5"/>
  <w15:chartTrackingRefBased/>
  <w15:docId w15:val="{9D06EB3A-8FFB-4452-8EE4-93D4052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300"/>
    <w:rPr>
      <w:b/>
      <w:bCs/>
    </w:rPr>
  </w:style>
  <w:style w:type="character" w:styleId="Hyperlink">
    <w:name w:val="Hyperlink"/>
    <w:basedOn w:val="DefaultParagraphFont"/>
    <w:uiPriority w:val="99"/>
    <w:unhideWhenUsed/>
    <w:rsid w:val="00424D41"/>
    <w:rPr>
      <w:color w:val="0000FF" w:themeColor="hyperlink"/>
      <w:u w:val="single"/>
    </w:rPr>
  </w:style>
  <w:style w:type="character" w:styleId="UnresolvedMention">
    <w:name w:val="Unresolved Mention"/>
    <w:basedOn w:val="DefaultParagraphFont"/>
    <w:uiPriority w:val="99"/>
    <w:semiHidden/>
    <w:unhideWhenUsed/>
    <w:rsid w:val="00424D41"/>
    <w:rPr>
      <w:color w:val="605E5C"/>
      <w:shd w:val="clear" w:color="auto" w:fill="E1DFDD"/>
    </w:rPr>
  </w:style>
  <w:style w:type="table" w:styleId="TableGrid">
    <w:name w:val="Table Grid"/>
    <w:basedOn w:val="TableNormal"/>
    <w:uiPriority w:val="39"/>
    <w:rsid w:val="004C70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C70C1"/>
    <w:pPr>
      <w:numPr>
        <w:numId w:val="3"/>
      </w:numPr>
      <w:spacing w:after="0" w:line="240" w:lineRule="auto"/>
      <w:contextualSpacing/>
    </w:pPr>
    <w:rPr>
      <w:sz w:val="24"/>
      <w:szCs w:val="24"/>
    </w:rPr>
  </w:style>
  <w:style w:type="paragraph" w:styleId="ListParagraph">
    <w:name w:val="List Paragraph"/>
    <w:basedOn w:val="Normal"/>
    <w:uiPriority w:val="34"/>
    <w:qFormat/>
    <w:rsid w:val="002D4C43"/>
    <w:pPr>
      <w:ind w:left="720"/>
      <w:contextualSpacing/>
    </w:pPr>
  </w:style>
  <w:style w:type="paragraph" w:styleId="BalloonText">
    <w:name w:val="Balloon Text"/>
    <w:basedOn w:val="Normal"/>
    <w:link w:val="BalloonTextChar"/>
    <w:uiPriority w:val="99"/>
    <w:semiHidden/>
    <w:unhideWhenUsed/>
    <w:rsid w:val="0096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FE1"/>
    <w:rPr>
      <w:rFonts w:ascii="Segoe UI" w:hAnsi="Segoe UI" w:cs="Segoe UI"/>
      <w:sz w:val="18"/>
      <w:szCs w:val="18"/>
    </w:rPr>
  </w:style>
  <w:style w:type="paragraph" w:styleId="Header">
    <w:name w:val="header"/>
    <w:basedOn w:val="Normal"/>
    <w:link w:val="HeaderChar"/>
    <w:uiPriority w:val="99"/>
    <w:unhideWhenUsed/>
    <w:rsid w:val="0096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E1"/>
  </w:style>
  <w:style w:type="paragraph" w:styleId="Footer">
    <w:name w:val="footer"/>
    <w:basedOn w:val="Normal"/>
    <w:link w:val="FooterChar"/>
    <w:uiPriority w:val="99"/>
    <w:unhideWhenUsed/>
    <w:rsid w:val="0096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637">
      <w:bodyDiv w:val="1"/>
      <w:marLeft w:val="0"/>
      <w:marRight w:val="0"/>
      <w:marTop w:val="0"/>
      <w:marBottom w:val="0"/>
      <w:divBdr>
        <w:top w:val="none" w:sz="0" w:space="0" w:color="auto"/>
        <w:left w:val="none" w:sz="0" w:space="0" w:color="auto"/>
        <w:bottom w:val="none" w:sz="0" w:space="0" w:color="auto"/>
        <w:right w:val="none" w:sz="0" w:space="0" w:color="auto"/>
      </w:divBdr>
    </w:div>
    <w:div w:id="1536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news/eu-workers-qualifications-will-be-recognised-after-eu-ex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collections/planning-for-a-possible-no-deal-eu-exit-information-for-the-health-and-care-sec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settled-status-eu-citizens-families" TargetMode="External"/><Relationship Id="rId4" Type="http://schemas.openxmlformats.org/officeDocument/2006/relationships/webSettings" Target="webSettings.xml"/><Relationship Id="rId9" Type="http://schemas.openxmlformats.org/officeDocument/2006/relationships/hyperlink" Target="https://www.gov.uk/government/brex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Jon Stanley</cp:lastModifiedBy>
  <cp:revision>2</cp:revision>
  <cp:lastPrinted>2019-09-16T12:56:00Z</cp:lastPrinted>
  <dcterms:created xsi:type="dcterms:W3CDTF">2019-09-19T16:40:00Z</dcterms:created>
  <dcterms:modified xsi:type="dcterms:W3CDTF">2019-09-19T16:40:00Z</dcterms:modified>
</cp:coreProperties>
</file>