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5C" w:rsidRDefault="00D53B5C" w:rsidP="00D71CC9">
      <w:pPr>
        <w:pStyle w:val="Heading1"/>
      </w:pPr>
      <w:r>
        <w:t xml:space="preserve">Equipment in Care Home Guidance </w:t>
      </w:r>
    </w:p>
    <w:p w:rsidR="00D53B5C" w:rsidRDefault="00D53B5C" w:rsidP="00D53B5C"/>
    <w:p w:rsidR="00D53B5C" w:rsidRPr="00D53B5C" w:rsidRDefault="00D53B5C" w:rsidP="00D53B5C">
      <w:r w:rsidRPr="00D53B5C">
        <w:t>Based on recent figures (2018), there are 362 residential and nursing homes for older people in Surrey</w:t>
      </w:r>
      <w:r>
        <w:t xml:space="preserve">.  </w:t>
      </w:r>
      <w:r w:rsidRPr="00D53B5C">
        <w:t xml:space="preserve">Evidence shows that there is an </w:t>
      </w:r>
      <w:r w:rsidRPr="00D53B5C">
        <w:rPr>
          <w:b/>
          <w:bCs/>
        </w:rPr>
        <w:t xml:space="preserve">increasing volume </w:t>
      </w:r>
      <w:r w:rsidRPr="00D53B5C">
        <w:t>of equipment being supplied via CES int</w:t>
      </w:r>
      <w:r>
        <w:t xml:space="preserve">o Residential and Nursing Homes.  </w:t>
      </w:r>
      <w:r w:rsidRPr="00D53B5C">
        <w:t>Currently estimated at 2,000 items issued in</w:t>
      </w:r>
      <w:r>
        <w:t xml:space="preserve"> 2017/18 with a value of £125k+.  </w:t>
      </w:r>
      <w:r w:rsidRPr="00D53B5C">
        <w:t>Many of these items are unaccountable and get lost in these homes</w:t>
      </w:r>
      <w:r>
        <w:t>.</w:t>
      </w:r>
      <w:r w:rsidRPr="00D53B5C">
        <w:t xml:space="preserve"> </w:t>
      </w:r>
    </w:p>
    <w:p w:rsidR="00D53B5C" w:rsidRPr="00D53B5C" w:rsidRDefault="00D71CC9" w:rsidP="00D53B5C">
      <w:r>
        <w:t>T</w:t>
      </w:r>
      <w:r w:rsidR="00D53B5C" w:rsidRPr="00D53B5C">
        <w:t xml:space="preserve">he confusion on who is responsible and funding items of equipment in care homes have </w:t>
      </w:r>
      <w:r>
        <w:t xml:space="preserve">also </w:t>
      </w:r>
      <w:r w:rsidR="00D53B5C" w:rsidRPr="00D53B5C">
        <w:t>led to delays in provision to residents.</w:t>
      </w:r>
      <w:r w:rsidR="00D53B5C">
        <w:t xml:space="preserve">  </w:t>
      </w:r>
    </w:p>
    <w:p w:rsidR="00D53B5C" w:rsidRPr="00D53B5C" w:rsidRDefault="00D53B5C" w:rsidP="00D53B5C">
      <w:r w:rsidRPr="00D53B5C">
        <w:t>The objective of the document is to introduce some comprehensive guidance in order to manage expectations and practice in this area.  </w:t>
      </w:r>
    </w:p>
    <w:p w:rsidR="00D53B5C" w:rsidRPr="00D53B5C" w:rsidRDefault="00D53B5C" w:rsidP="00D53B5C">
      <w:r w:rsidRPr="00D53B5C">
        <w:t xml:space="preserve">It will aim to promote consistent proactive understanding between managers/owners of care homes, health and social care commissioners and community equipment services commissioned by health and social services in Surrey. </w:t>
      </w:r>
    </w:p>
    <w:p w:rsidR="00D53B5C" w:rsidRPr="00D53B5C" w:rsidRDefault="00D53B5C" w:rsidP="00D53B5C">
      <w:r w:rsidRPr="00D53B5C">
        <w:t xml:space="preserve">Document has been developed using a number of guidelines including Care Act 2014, the Health and Social Care Act 2008 (Regulated Activities) regulations 2010 and the Care Quality Commission (Registration) Regulations 2009: CQC </w:t>
      </w:r>
      <w:r w:rsidRPr="00D53B5C">
        <w:rPr>
          <w:i/>
          <w:iCs/>
        </w:rPr>
        <w:t xml:space="preserve">Essential Standards of Quality &amp; Safety </w:t>
      </w:r>
      <w:r w:rsidRPr="00D53B5C">
        <w:t xml:space="preserve">(March 2010); </w:t>
      </w:r>
    </w:p>
    <w:p w:rsidR="00D53B5C" w:rsidRPr="00D53B5C" w:rsidRDefault="00D53B5C" w:rsidP="00D53B5C">
      <w:r w:rsidRPr="00D53B5C">
        <w:t>CQC do not distinguish different responsibilities between residential and nursing homes therefore for the purpose of this document Care home refers to both residential care and nursing care homes unless otherwise specified.</w:t>
      </w:r>
    </w:p>
    <w:p w:rsidR="00D71CC9" w:rsidRPr="00D53B5C" w:rsidRDefault="00D71CC9" w:rsidP="00D71CC9">
      <w:r>
        <w:t xml:space="preserve">It is expected that </w:t>
      </w:r>
      <w:r w:rsidRPr="00D53B5C">
        <w:t xml:space="preserve">Care homes will provide a range of furniture and equipment to meet a variety of care and support needs, including variations in height, weight and size. They should relate to the care for which the home is registered and fulfil their health and safety obligations to their own care staff.  </w:t>
      </w:r>
    </w:p>
    <w:p w:rsidR="00D71CC9" w:rsidRPr="00D53B5C" w:rsidRDefault="00D71CC9" w:rsidP="00D71CC9">
      <w:r w:rsidRPr="00D53B5C">
        <w:t>An equipment matrix has been developed in the document, which identifies the expectation of what and who is responsible for specific equipment in care homes.</w:t>
      </w:r>
    </w:p>
    <w:p w:rsidR="00D53B5C" w:rsidRPr="00D53B5C" w:rsidRDefault="00D53B5C" w:rsidP="00D53B5C">
      <w:r w:rsidRPr="00D53B5C">
        <w:t>This document does not pertain to:</w:t>
      </w:r>
    </w:p>
    <w:p w:rsidR="00D53B5C" w:rsidRPr="00D53B5C" w:rsidRDefault="00D53B5C" w:rsidP="00D71CC9">
      <w:pPr>
        <w:pStyle w:val="ListParagraph"/>
        <w:numPr>
          <w:ilvl w:val="0"/>
          <w:numId w:val="2"/>
        </w:numPr>
      </w:pPr>
      <w:r w:rsidRPr="00D53B5C">
        <w:t xml:space="preserve">Individuals who has their own tenancy within a supported living environment, this is considered as living within the community and therefore equipment provision will be funded via the CES following an assessment by a clinical professional. </w:t>
      </w:r>
    </w:p>
    <w:p w:rsidR="00D53B5C" w:rsidRPr="00D53B5C" w:rsidRDefault="00D53B5C" w:rsidP="00D71CC9">
      <w:pPr>
        <w:pStyle w:val="ListParagraph"/>
        <w:numPr>
          <w:ilvl w:val="0"/>
          <w:numId w:val="2"/>
        </w:numPr>
      </w:pPr>
      <w:r w:rsidRPr="00D53B5C">
        <w:t>General equipment in extra care schemes which is available to a number of different residents to use must be funded by the Extra Care Housing Provider.</w:t>
      </w:r>
    </w:p>
    <w:p w:rsidR="00D53B5C" w:rsidRPr="00D53B5C" w:rsidRDefault="00D71CC9" w:rsidP="00D53B5C">
      <w:r>
        <w:t xml:space="preserve">A number of stakeholders have been </w:t>
      </w:r>
      <w:r w:rsidR="00D53B5C" w:rsidRPr="00D53B5C">
        <w:t>consulted to help form this document:</w:t>
      </w:r>
    </w:p>
    <w:p w:rsidR="00000000" w:rsidRPr="00D53B5C" w:rsidRDefault="00D71CC9" w:rsidP="00D53B5C">
      <w:pPr>
        <w:numPr>
          <w:ilvl w:val="0"/>
          <w:numId w:val="1"/>
        </w:numPr>
      </w:pPr>
      <w:r w:rsidRPr="00D53B5C">
        <w:t>O</w:t>
      </w:r>
      <w:r>
        <w:t xml:space="preserve">ccupational therapists </w:t>
      </w:r>
      <w:r w:rsidRPr="00D53B5C">
        <w:t>in Adult</w:t>
      </w:r>
      <w:r w:rsidRPr="00D53B5C">
        <w:t>s</w:t>
      </w:r>
      <w:r w:rsidRPr="00D53B5C">
        <w:t xml:space="preserve"> and Children services</w:t>
      </w:r>
    </w:p>
    <w:p w:rsidR="00000000" w:rsidRPr="00D53B5C" w:rsidRDefault="00D71CC9" w:rsidP="00D53B5C">
      <w:pPr>
        <w:numPr>
          <w:ilvl w:val="0"/>
          <w:numId w:val="1"/>
        </w:numPr>
      </w:pPr>
      <w:r w:rsidRPr="00D53B5C">
        <w:t xml:space="preserve">Senior Commissioning Manager </w:t>
      </w:r>
      <w:r>
        <w:t xml:space="preserve"> </w:t>
      </w:r>
    </w:p>
    <w:p w:rsidR="00D71CC9" w:rsidRDefault="00D71CC9" w:rsidP="00DE5D23">
      <w:pPr>
        <w:numPr>
          <w:ilvl w:val="0"/>
          <w:numId w:val="1"/>
        </w:numPr>
      </w:pPr>
      <w:r w:rsidRPr="00D53B5C">
        <w:t>Principal Social Worker (Adults</w:t>
      </w:r>
      <w:r>
        <w:t>)</w:t>
      </w:r>
    </w:p>
    <w:p w:rsidR="00000000" w:rsidRPr="00D53B5C" w:rsidRDefault="00D71CC9" w:rsidP="00DE5D23">
      <w:pPr>
        <w:numPr>
          <w:ilvl w:val="0"/>
          <w:numId w:val="1"/>
        </w:numPr>
      </w:pPr>
      <w:r>
        <w:t>Some care h</w:t>
      </w:r>
      <w:r w:rsidRPr="00D53B5C">
        <w:t xml:space="preserve">omes have provided input and comments  </w:t>
      </w:r>
    </w:p>
    <w:p w:rsidR="00D71CC9" w:rsidRDefault="00D71CC9" w:rsidP="003C6887">
      <w:pPr>
        <w:numPr>
          <w:ilvl w:val="0"/>
          <w:numId w:val="1"/>
        </w:numPr>
      </w:pPr>
      <w:r w:rsidRPr="00D53B5C">
        <w:t xml:space="preserve">Health and social care equipment boards have </w:t>
      </w:r>
      <w:r>
        <w:t xml:space="preserve">also </w:t>
      </w:r>
      <w:r w:rsidRPr="00D53B5C">
        <w:t xml:space="preserve">had sight of the document </w:t>
      </w:r>
      <w:bookmarkStart w:id="0" w:name="_GoBack"/>
      <w:bookmarkEnd w:id="0"/>
    </w:p>
    <w:sectPr w:rsidR="00D71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964"/>
    <w:multiLevelType w:val="hybridMultilevel"/>
    <w:tmpl w:val="90D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368D9"/>
    <w:multiLevelType w:val="hybridMultilevel"/>
    <w:tmpl w:val="28140ECC"/>
    <w:lvl w:ilvl="0" w:tplc="21B8E62A">
      <w:start w:val="1"/>
      <w:numFmt w:val="bullet"/>
      <w:lvlText w:val="•"/>
      <w:lvlJc w:val="left"/>
      <w:pPr>
        <w:tabs>
          <w:tab w:val="num" w:pos="720"/>
        </w:tabs>
        <w:ind w:left="720" w:hanging="360"/>
      </w:pPr>
      <w:rPr>
        <w:rFonts w:ascii="Arial" w:hAnsi="Arial" w:hint="default"/>
      </w:rPr>
    </w:lvl>
    <w:lvl w:ilvl="1" w:tplc="60DE9FC2" w:tentative="1">
      <w:start w:val="1"/>
      <w:numFmt w:val="bullet"/>
      <w:lvlText w:val="•"/>
      <w:lvlJc w:val="left"/>
      <w:pPr>
        <w:tabs>
          <w:tab w:val="num" w:pos="1440"/>
        </w:tabs>
        <w:ind w:left="1440" w:hanging="360"/>
      </w:pPr>
      <w:rPr>
        <w:rFonts w:ascii="Arial" w:hAnsi="Arial" w:hint="default"/>
      </w:rPr>
    </w:lvl>
    <w:lvl w:ilvl="2" w:tplc="586A5702" w:tentative="1">
      <w:start w:val="1"/>
      <w:numFmt w:val="bullet"/>
      <w:lvlText w:val="•"/>
      <w:lvlJc w:val="left"/>
      <w:pPr>
        <w:tabs>
          <w:tab w:val="num" w:pos="2160"/>
        </w:tabs>
        <w:ind w:left="2160" w:hanging="360"/>
      </w:pPr>
      <w:rPr>
        <w:rFonts w:ascii="Arial" w:hAnsi="Arial" w:hint="default"/>
      </w:rPr>
    </w:lvl>
    <w:lvl w:ilvl="3" w:tplc="7CF8BB1E" w:tentative="1">
      <w:start w:val="1"/>
      <w:numFmt w:val="bullet"/>
      <w:lvlText w:val="•"/>
      <w:lvlJc w:val="left"/>
      <w:pPr>
        <w:tabs>
          <w:tab w:val="num" w:pos="2880"/>
        </w:tabs>
        <w:ind w:left="2880" w:hanging="360"/>
      </w:pPr>
      <w:rPr>
        <w:rFonts w:ascii="Arial" w:hAnsi="Arial" w:hint="default"/>
      </w:rPr>
    </w:lvl>
    <w:lvl w:ilvl="4" w:tplc="E0B64EB4" w:tentative="1">
      <w:start w:val="1"/>
      <w:numFmt w:val="bullet"/>
      <w:lvlText w:val="•"/>
      <w:lvlJc w:val="left"/>
      <w:pPr>
        <w:tabs>
          <w:tab w:val="num" w:pos="3600"/>
        </w:tabs>
        <w:ind w:left="3600" w:hanging="360"/>
      </w:pPr>
      <w:rPr>
        <w:rFonts w:ascii="Arial" w:hAnsi="Arial" w:hint="default"/>
      </w:rPr>
    </w:lvl>
    <w:lvl w:ilvl="5" w:tplc="E1C28FD4" w:tentative="1">
      <w:start w:val="1"/>
      <w:numFmt w:val="bullet"/>
      <w:lvlText w:val="•"/>
      <w:lvlJc w:val="left"/>
      <w:pPr>
        <w:tabs>
          <w:tab w:val="num" w:pos="4320"/>
        </w:tabs>
        <w:ind w:left="4320" w:hanging="360"/>
      </w:pPr>
      <w:rPr>
        <w:rFonts w:ascii="Arial" w:hAnsi="Arial" w:hint="default"/>
      </w:rPr>
    </w:lvl>
    <w:lvl w:ilvl="6" w:tplc="3AB0E59E" w:tentative="1">
      <w:start w:val="1"/>
      <w:numFmt w:val="bullet"/>
      <w:lvlText w:val="•"/>
      <w:lvlJc w:val="left"/>
      <w:pPr>
        <w:tabs>
          <w:tab w:val="num" w:pos="5040"/>
        </w:tabs>
        <w:ind w:left="5040" w:hanging="360"/>
      </w:pPr>
      <w:rPr>
        <w:rFonts w:ascii="Arial" w:hAnsi="Arial" w:hint="default"/>
      </w:rPr>
    </w:lvl>
    <w:lvl w:ilvl="7" w:tplc="9A8EB6CE" w:tentative="1">
      <w:start w:val="1"/>
      <w:numFmt w:val="bullet"/>
      <w:lvlText w:val="•"/>
      <w:lvlJc w:val="left"/>
      <w:pPr>
        <w:tabs>
          <w:tab w:val="num" w:pos="5760"/>
        </w:tabs>
        <w:ind w:left="5760" w:hanging="360"/>
      </w:pPr>
      <w:rPr>
        <w:rFonts w:ascii="Arial" w:hAnsi="Arial" w:hint="default"/>
      </w:rPr>
    </w:lvl>
    <w:lvl w:ilvl="8" w:tplc="9F142D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5C"/>
    <w:rsid w:val="006B4E90"/>
    <w:rsid w:val="00D53B5C"/>
    <w:rsid w:val="00D71CC9"/>
    <w:rsid w:val="00E6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AD46-6D05-4E4E-B542-421CA38B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C9"/>
    <w:pPr>
      <w:ind w:left="720"/>
      <w:contextualSpacing/>
    </w:pPr>
  </w:style>
  <w:style w:type="character" w:customStyle="1" w:styleId="Heading1Char">
    <w:name w:val="Heading 1 Char"/>
    <w:basedOn w:val="DefaultParagraphFont"/>
    <w:link w:val="Heading1"/>
    <w:uiPriority w:val="9"/>
    <w:rsid w:val="00D71C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28950">
      <w:bodyDiv w:val="1"/>
      <w:marLeft w:val="0"/>
      <w:marRight w:val="0"/>
      <w:marTop w:val="0"/>
      <w:marBottom w:val="0"/>
      <w:divBdr>
        <w:top w:val="none" w:sz="0" w:space="0" w:color="auto"/>
        <w:left w:val="none" w:sz="0" w:space="0" w:color="auto"/>
        <w:bottom w:val="none" w:sz="0" w:space="0" w:color="auto"/>
        <w:right w:val="none" w:sz="0" w:space="0" w:color="auto"/>
      </w:divBdr>
      <w:divsChild>
        <w:div w:id="1069226964">
          <w:marLeft w:val="446"/>
          <w:marRight w:val="0"/>
          <w:marTop w:val="110"/>
          <w:marBottom w:val="0"/>
          <w:divBdr>
            <w:top w:val="none" w:sz="0" w:space="0" w:color="auto"/>
            <w:left w:val="none" w:sz="0" w:space="0" w:color="auto"/>
            <w:bottom w:val="none" w:sz="0" w:space="0" w:color="auto"/>
            <w:right w:val="none" w:sz="0" w:space="0" w:color="auto"/>
          </w:divBdr>
        </w:div>
        <w:div w:id="1232620218">
          <w:marLeft w:val="446"/>
          <w:marRight w:val="0"/>
          <w:marTop w:val="110"/>
          <w:marBottom w:val="0"/>
          <w:divBdr>
            <w:top w:val="none" w:sz="0" w:space="0" w:color="auto"/>
            <w:left w:val="none" w:sz="0" w:space="0" w:color="auto"/>
            <w:bottom w:val="none" w:sz="0" w:space="0" w:color="auto"/>
            <w:right w:val="none" w:sz="0" w:space="0" w:color="auto"/>
          </w:divBdr>
        </w:div>
        <w:div w:id="780342563">
          <w:marLeft w:val="446"/>
          <w:marRight w:val="0"/>
          <w:marTop w:val="115"/>
          <w:marBottom w:val="0"/>
          <w:divBdr>
            <w:top w:val="none" w:sz="0" w:space="0" w:color="auto"/>
            <w:left w:val="none" w:sz="0" w:space="0" w:color="auto"/>
            <w:bottom w:val="none" w:sz="0" w:space="0" w:color="auto"/>
            <w:right w:val="none" w:sz="0" w:space="0" w:color="auto"/>
          </w:divBdr>
        </w:div>
        <w:div w:id="798914111">
          <w:marLeft w:val="446"/>
          <w:marRight w:val="0"/>
          <w:marTop w:val="110"/>
          <w:marBottom w:val="0"/>
          <w:divBdr>
            <w:top w:val="none" w:sz="0" w:space="0" w:color="auto"/>
            <w:left w:val="none" w:sz="0" w:space="0" w:color="auto"/>
            <w:bottom w:val="none" w:sz="0" w:space="0" w:color="auto"/>
            <w:right w:val="none" w:sz="0" w:space="0" w:color="auto"/>
          </w:divBdr>
        </w:div>
        <w:div w:id="2052724145">
          <w:marLeft w:val="446"/>
          <w:marRight w:val="0"/>
          <w:marTop w:val="110"/>
          <w:marBottom w:val="0"/>
          <w:divBdr>
            <w:top w:val="none" w:sz="0" w:space="0" w:color="auto"/>
            <w:left w:val="none" w:sz="0" w:space="0" w:color="auto"/>
            <w:bottom w:val="none" w:sz="0" w:space="0" w:color="auto"/>
            <w:right w:val="none" w:sz="0" w:space="0" w:color="auto"/>
          </w:divBdr>
        </w:div>
      </w:divsChild>
    </w:div>
    <w:div w:id="1248685378">
      <w:bodyDiv w:val="1"/>
      <w:marLeft w:val="0"/>
      <w:marRight w:val="0"/>
      <w:marTop w:val="0"/>
      <w:marBottom w:val="0"/>
      <w:divBdr>
        <w:top w:val="none" w:sz="0" w:space="0" w:color="auto"/>
        <w:left w:val="none" w:sz="0" w:space="0" w:color="auto"/>
        <w:bottom w:val="none" w:sz="0" w:space="0" w:color="auto"/>
        <w:right w:val="none" w:sz="0" w:space="0" w:color="auto"/>
      </w:divBdr>
    </w:div>
    <w:div w:id="1408771179">
      <w:bodyDiv w:val="1"/>
      <w:marLeft w:val="0"/>
      <w:marRight w:val="0"/>
      <w:marTop w:val="0"/>
      <w:marBottom w:val="0"/>
      <w:divBdr>
        <w:top w:val="none" w:sz="0" w:space="0" w:color="auto"/>
        <w:left w:val="none" w:sz="0" w:space="0" w:color="auto"/>
        <w:bottom w:val="none" w:sz="0" w:space="0" w:color="auto"/>
        <w:right w:val="none" w:sz="0" w:space="0" w:color="auto"/>
      </w:divBdr>
    </w:div>
    <w:div w:id="1787382010">
      <w:bodyDiv w:val="1"/>
      <w:marLeft w:val="0"/>
      <w:marRight w:val="0"/>
      <w:marTop w:val="0"/>
      <w:marBottom w:val="0"/>
      <w:divBdr>
        <w:top w:val="none" w:sz="0" w:space="0" w:color="auto"/>
        <w:left w:val="none" w:sz="0" w:space="0" w:color="auto"/>
        <w:bottom w:val="none" w:sz="0" w:space="0" w:color="auto"/>
        <w:right w:val="none" w:sz="0" w:space="0" w:color="auto"/>
      </w:divBdr>
    </w:div>
    <w:div w:id="1979070037">
      <w:bodyDiv w:val="1"/>
      <w:marLeft w:val="0"/>
      <w:marRight w:val="0"/>
      <w:marTop w:val="0"/>
      <w:marBottom w:val="0"/>
      <w:divBdr>
        <w:top w:val="none" w:sz="0" w:space="0" w:color="auto"/>
        <w:left w:val="none" w:sz="0" w:space="0" w:color="auto"/>
        <w:bottom w:val="none" w:sz="0" w:space="0" w:color="auto"/>
        <w:right w:val="none" w:sz="0" w:space="0" w:color="auto"/>
      </w:divBdr>
    </w:div>
    <w:div w:id="20199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Ogunlayi ASC</dc:creator>
  <cp:keywords/>
  <dc:description/>
  <cp:lastModifiedBy>Mary Ogunlayi ASC</cp:lastModifiedBy>
  <cp:revision>1</cp:revision>
  <dcterms:created xsi:type="dcterms:W3CDTF">2019-01-15T22:23:00Z</dcterms:created>
  <dcterms:modified xsi:type="dcterms:W3CDTF">2019-01-15T22:40:00Z</dcterms:modified>
</cp:coreProperties>
</file>